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9B" w:rsidRPr="0050699B" w:rsidRDefault="0050699B" w:rsidP="0050699B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s-ES"/>
        </w:rPr>
      </w:pPr>
      <w:r w:rsidRPr="0050699B">
        <w:rPr>
          <w:rFonts w:eastAsia="Times New Roman" w:cs="Times New Roman"/>
          <w:b/>
          <w:sz w:val="28"/>
          <w:szCs w:val="28"/>
          <w:u w:val="single"/>
          <w:lang w:eastAsia="es-ES"/>
        </w:rPr>
        <w:t>Tablas y gráficos</w:t>
      </w:r>
    </w:p>
    <w:p w:rsidR="0050699B" w:rsidRDefault="0050699B" w:rsidP="0050699B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es-ES"/>
        </w:rPr>
      </w:pPr>
    </w:p>
    <w:p w:rsidR="0050699B" w:rsidRPr="004F73B2" w:rsidRDefault="0050699B" w:rsidP="0050699B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es-ES"/>
        </w:rPr>
      </w:pPr>
      <w:r w:rsidRPr="004F73B2">
        <w:rPr>
          <w:rFonts w:eastAsia="Times New Roman" w:cs="Times New Roman"/>
          <w:b/>
          <w:sz w:val="28"/>
          <w:szCs w:val="28"/>
          <w:lang w:eastAsia="es-ES"/>
        </w:rPr>
        <w:t>VIABILIDAD Y FINANCIERA Y REFORMAS DE LOS SISTEMAS  DE PENSIONES EN LA UNIÓN EUROPEA</w:t>
      </w:r>
    </w:p>
    <w:p w:rsidR="0050699B" w:rsidRPr="004F73B2" w:rsidRDefault="0050699B" w:rsidP="0050699B">
      <w:pPr>
        <w:spacing w:line="240" w:lineRule="auto"/>
        <w:rPr>
          <w:rFonts w:eastAsia="Times New Roman" w:cs="Times New Roman"/>
          <w:b/>
          <w:sz w:val="28"/>
          <w:szCs w:val="28"/>
          <w:lang w:eastAsia="es-ES"/>
        </w:rPr>
      </w:pPr>
    </w:p>
    <w:p w:rsidR="0050699B" w:rsidRPr="004F73B2" w:rsidRDefault="0050699B" w:rsidP="0050699B">
      <w:pPr>
        <w:spacing w:line="240" w:lineRule="auto"/>
        <w:rPr>
          <w:rFonts w:cs="Times New Roman"/>
          <w:b/>
          <w:szCs w:val="24"/>
        </w:rPr>
      </w:pPr>
    </w:p>
    <w:p w:rsidR="0050699B" w:rsidRPr="004F73B2" w:rsidRDefault="0050699B" w:rsidP="0050699B">
      <w:pPr>
        <w:spacing w:line="240" w:lineRule="auto"/>
        <w:rPr>
          <w:rFonts w:cs="Times New Roman"/>
          <w:szCs w:val="24"/>
        </w:rPr>
      </w:pPr>
      <w:r w:rsidRPr="004F73B2">
        <w:rPr>
          <w:rFonts w:cs="Times New Roman"/>
          <w:b/>
          <w:szCs w:val="24"/>
        </w:rPr>
        <w:t>Autor:</w:t>
      </w:r>
      <w:r w:rsidRPr="004F73B2">
        <w:rPr>
          <w:rFonts w:cs="Times New Roman"/>
          <w:b/>
          <w:szCs w:val="24"/>
        </w:rPr>
        <w:tab/>
      </w:r>
      <w:r w:rsidRPr="004F73B2">
        <w:rPr>
          <w:rFonts w:cs="Times New Roman"/>
          <w:szCs w:val="24"/>
        </w:rPr>
        <w:t>ANTONIO JAVIER RAMOS LLANOS</w:t>
      </w:r>
    </w:p>
    <w:p w:rsidR="0050699B" w:rsidRDefault="0050699B" w:rsidP="00D22941">
      <w:pPr>
        <w:pStyle w:val="Prrafodelista"/>
        <w:spacing w:line="240" w:lineRule="auto"/>
        <w:ind w:left="0" w:firstLine="567"/>
        <w:jc w:val="center"/>
        <w:outlineLvl w:val="0"/>
        <w:rPr>
          <w:rFonts w:cs="Times New Roman"/>
          <w:b/>
          <w:szCs w:val="24"/>
        </w:rPr>
      </w:pPr>
    </w:p>
    <w:p w:rsidR="0050699B" w:rsidRDefault="0050699B" w:rsidP="00D22941">
      <w:pPr>
        <w:pStyle w:val="Prrafodelista"/>
        <w:spacing w:line="240" w:lineRule="auto"/>
        <w:ind w:left="0" w:firstLine="567"/>
        <w:jc w:val="center"/>
        <w:outlineLvl w:val="0"/>
        <w:rPr>
          <w:rFonts w:cs="Times New Roman"/>
          <w:b/>
          <w:szCs w:val="24"/>
        </w:rPr>
      </w:pPr>
    </w:p>
    <w:p w:rsidR="0050699B" w:rsidRDefault="0050699B" w:rsidP="00D22941">
      <w:pPr>
        <w:pStyle w:val="Prrafodelista"/>
        <w:spacing w:line="240" w:lineRule="auto"/>
        <w:ind w:left="0" w:firstLine="567"/>
        <w:jc w:val="center"/>
        <w:outlineLvl w:val="0"/>
        <w:rPr>
          <w:rFonts w:cs="Times New Roman"/>
          <w:b/>
          <w:szCs w:val="24"/>
        </w:rPr>
      </w:pPr>
    </w:p>
    <w:p w:rsidR="00D22941" w:rsidRPr="00223ADA" w:rsidRDefault="00D22941" w:rsidP="00D22941">
      <w:pPr>
        <w:pStyle w:val="Prrafodelista"/>
        <w:spacing w:line="240" w:lineRule="auto"/>
        <w:ind w:left="0" w:firstLine="567"/>
        <w:jc w:val="center"/>
        <w:outlineLvl w:val="0"/>
        <w:rPr>
          <w:rFonts w:cs="Times New Roman"/>
          <w:b/>
          <w:szCs w:val="24"/>
        </w:rPr>
      </w:pPr>
      <w:r w:rsidRPr="00223ADA">
        <w:rPr>
          <w:rFonts w:cs="Times New Roman"/>
          <w:b/>
          <w:szCs w:val="24"/>
        </w:rPr>
        <w:t>Tabla 1. Gasto Social en la UE. 2008</w:t>
      </w:r>
      <w:r>
        <w:rPr>
          <w:rFonts w:cs="Times New Roman"/>
          <w:b/>
          <w:szCs w:val="24"/>
        </w:rPr>
        <w:t>.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01"/>
        <w:gridCol w:w="2268"/>
        <w:gridCol w:w="1984"/>
        <w:gridCol w:w="2552"/>
      </w:tblGrid>
      <w:tr w:rsidR="00D22941" w:rsidRPr="00D55914" w:rsidTr="00D22941">
        <w:trPr>
          <w:cantSplit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El gasto total en protección social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El gasto total en protección social por habitante. Euros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El gasto total en protección social por habitante. </w:t>
            </w:r>
          </w:p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Euros PPS</w:t>
            </w:r>
          </w:p>
        </w:tc>
      </w:tr>
      <w:tr w:rsidR="00D22941" w:rsidRPr="00D55914" w:rsidTr="00D22941">
        <w:trPr>
          <w:cantSplit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Precios corrientes en % del PIB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UE-27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5.762,3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6.603,6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Euro-16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27,5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7.066,3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8.108,4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Alemania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7.462,7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7.998,3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Austria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8.164,7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8.763,0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Bélgica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7.568,7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8.170,7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Bulgaria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1.660,7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Chipre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18,4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3.184,1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4.425,6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Dinamarca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10.845,7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8.941,9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Eslovaquia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1.337,4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2.900,3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Eslovenia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2.753,8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4.920,6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España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4.169,8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5.846,0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Estonia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2.548,0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Finlandia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8.096,9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7.723,8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Francia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8.310,4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Grecia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4.231,6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6.048,2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Holanda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8.616,8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9.557,2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Hungría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3.693,4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Irlanda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6.946,1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7.459,7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Italia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5.900,9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7.090,1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Letonia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1.803,0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Lituania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2.513,5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Luxemburgo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13.870,3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14.057,3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2.212,9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3.636,6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Polonia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1.444,2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2.629,6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Portugal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4.791,5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Reino Unido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5.849,5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6.895,3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Republica Checa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2.222,6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3.773,7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Rumania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1.715,8</w:t>
            </w:r>
          </w:p>
        </w:tc>
      </w:tr>
      <w:tr w:rsidR="00D22941" w:rsidRPr="00D55914" w:rsidTr="00D22941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Suecia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9.383,5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D55914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D5591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9.033,0</w:t>
            </w:r>
          </w:p>
        </w:tc>
      </w:tr>
    </w:tbl>
    <w:p w:rsidR="00D22941" w:rsidRPr="00253843" w:rsidRDefault="00D22941" w:rsidP="00D22941">
      <w:pPr>
        <w:pStyle w:val="Prrafodelista"/>
        <w:spacing w:line="240" w:lineRule="auto"/>
        <w:ind w:firstLine="567"/>
        <w:rPr>
          <w:rFonts w:cs="Times New Roman"/>
          <w:sz w:val="20"/>
          <w:szCs w:val="20"/>
        </w:rPr>
      </w:pPr>
      <w:r w:rsidRPr="00253843">
        <w:rPr>
          <w:rFonts w:cs="Times New Roman"/>
          <w:sz w:val="20"/>
          <w:szCs w:val="20"/>
        </w:rPr>
        <w:t>Fuente: Eurostat</w:t>
      </w:r>
      <w:r>
        <w:rPr>
          <w:rFonts w:cs="Times New Roman"/>
          <w:sz w:val="20"/>
          <w:szCs w:val="20"/>
        </w:rPr>
        <w:t>.</w:t>
      </w:r>
    </w:p>
    <w:p w:rsidR="00D22941" w:rsidRPr="00253843" w:rsidRDefault="00D22941" w:rsidP="00D22941">
      <w:pPr>
        <w:pStyle w:val="Prrafodelista"/>
        <w:spacing w:line="240" w:lineRule="auto"/>
        <w:ind w:firstLine="567"/>
        <w:rPr>
          <w:rFonts w:cs="Times New Roman"/>
          <w:color w:val="0070C0"/>
          <w:sz w:val="20"/>
          <w:szCs w:val="20"/>
        </w:rPr>
      </w:pPr>
    </w:p>
    <w:p w:rsidR="00197D86" w:rsidRDefault="00197D86"/>
    <w:p w:rsidR="00D22941" w:rsidRDefault="00D22941"/>
    <w:p w:rsidR="00D22941" w:rsidRDefault="00D22941"/>
    <w:p w:rsidR="00D22941" w:rsidRDefault="00D22941"/>
    <w:p w:rsidR="00D22941" w:rsidRDefault="00D22941"/>
    <w:p w:rsidR="00D22941" w:rsidRDefault="00D22941"/>
    <w:p w:rsidR="00A15044" w:rsidRPr="0096450F" w:rsidRDefault="00A15044" w:rsidP="00A15044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96450F">
        <w:rPr>
          <w:rFonts w:cs="Times New Roman"/>
          <w:b/>
          <w:szCs w:val="24"/>
        </w:rPr>
        <w:lastRenderedPageBreak/>
        <w:t>Tabla</w:t>
      </w:r>
      <w:r>
        <w:rPr>
          <w:rFonts w:cs="Times New Roman"/>
          <w:b/>
          <w:szCs w:val="24"/>
        </w:rPr>
        <w:t xml:space="preserve"> 2</w:t>
      </w:r>
      <w:r w:rsidRPr="0096450F">
        <w:rPr>
          <w:rFonts w:cs="Times New Roman"/>
          <w:b/>
          <w:szCs w:val="24"/>
        </w:rPr>
        <w:t>. Pensiones de Jubilación en la UE (febrero 2011)</w:t>
      </w:r>
      <w:r>
        <w:rPr>
          <w:rFonts w:cs="Times New Roman"/>
          <w:b/>
          <w:szCs w:val="24"/>
        </w:rPr>
        <w:t>.</w:t>
      </w:r>
    </w:p>
    <w:tbl>
      <w:tblPr>
        <w:tblStyle w:val="Tablaconcuadrcula"/>
        <w:tblW w:w="9039" w:type="dxa"/>
        <w:tblBorders>
          <w:insideH w:val="dashSmallGap" w:sz="4" w:space="0" w:color="auto"/>
        </w:tblBorders>
        <w:tblLayout w:type="fixed"/>
        <w:tblLook w:val="04A0"/>
      </w:tblPr>
      <w:tblGrid>
        <w:gridCol w:w="1384"/>
        <w:gridCol w:w="1843"/>
        <w:gridCol w:w="2551"/>
        <w:gridCol w:w="1701"/>
        <w:gridCol w:w="1560"/>
      </w:tblGrid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Período Mínimo Cotizado para</w:t>
            </w:r>
          </w:p>
          <w:p w:rsidR="00A15044" w:rsidRPr="00C35F00" w:rsidRDefault="00A15044" w:rsidP="002C6E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 xml:space="preserve">acceder a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C35F00">
              <w:rPr>
                <w:b/>
                <w:bCs/>
                <w:sz w:val="18"/>
                <w:szCs w:val="18"/>
              </w:rPr>
              <w:t>ensión de Jubilación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Período de Cotización necesario para</w:t>
            </w:r>
          </w:p>
          <w:p w:rsidR="00A15044" w:rsidRPr="00C35F00" w:rsidRDefault="00A15044" w:rsidP="002C6E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acceder a Pensión de Jubilación Completa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Edad Legal de Jubilación</w:t>
            </w:r>
          </w:p>
          <w:p w:rsidR="00A15044" w:rsidRPr="00C35F00" w:rsidRDefault="00A15044" w:rsidP="002C6E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Ordinaria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Edad de Jubilación</w:t>
            </w:r>
          </w:p>
          <w:p w:rsidR="00A15044" w:rsidRPr="00C35F00" w:rsidRDefault="00A15044" w:rsidP="002C6E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F00">
              <w:rPr>
                <w:b/>
                <w:bCs/>
                <w:sz w:val="18"/>
                <w:szCs w:val="18"/>
              </w:rPr>
              <w:t>Anticipada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Alemania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 años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67 años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63 años: Con 35 cotizados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Austria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45 años cotizados.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65 años, Mujeres: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60 años.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 partir de 2023: 65 años.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62 años.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Abolición gradual salvo para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Profesiones penosas.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Bélgica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se exige periodo mínimo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45 años cotizados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60 años (35 cotizados)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Bulgaria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Según sistema de puntos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63 años de edad y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43 años cotizados (100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pun</w:t>
            </w:r>
            <w:r>
              <w:rPr>
                <w:sz w:val="14"/>
                <w:szCs w:val="14"/>
              </w:rPr>
              <w:t>tos)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60 años de edad y 94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puntos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Solo para casos de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proofErr w:type="gramStart"/>
            <w:r w:rsidRPr="00C35F00">
              <w:rPr>
                <w:sz w:val="14"/>
                <w:szCs w:val="14"/>
              </w:rPr>
              <w:t>profesiones</w:t>
            </w:r>
            <w:proofErr w:type="gramEnd"/>
            <w:r w:rsidRPr="00C35F00">
              <w:rPr>
                <w:sz w:val="14"/>
                <w:szCs w:val="14"/>
              </w:rPr>
              <w:t xml:space="preserve"> penosas.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Chipre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63 años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Dinamarca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Social: </w:t>
            </w:r>
            <w:r w:rsidRPr="00C35F00">
              <w:rPr>
                <w:sz w:val="14"/>
                <w:szCs w:val="14"/>
              </w:rPr>
              <w:t>3 años residencia</w:t>
            </w:r>
            <w:r>
              <w:rPr>
                <w:sz w:val="14"/>
                <w:szCs w:val="14"/>
              </w:rPr>
              <w:t xml:space="preserve"> entre los 15 y 65 años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Estatal: </w:t>
            </w:r>
            <w:r w:rsidRPr="00C35F00">
              <w:rPr>
                <w:sz w:val="14"/>
                <w:szCs w:val="14"/>
              </w:rPr>
              <w:t>No se exige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mínimo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Social: </w:t>
            </w:r>
            <w:r w:rsidRPr="00C35F00">
              <w:rPr>
                <w:sz w:val="14"/>
                <w:szCs w:val="14"/>
              </w:rPr>
              <w:t>40 años de residencia entre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los 15 y 65 años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Estatal: </w:t>
            </w:r>
            <w:r w:rsidRPr="00C35F00">
              <w:rPr>
                <w:sz w:val="14"/>
                <w:szCs w:val="14"/>
              </w:rPr>
              <w:t>No existe el concepto de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Social: </w:t>
            </w:r>
            <w:r w:rsidRPr="00C35F00">
              <w:rPr>
                <w:sz w:val="14"/>
                <w:szCs w:val="14"/>
              </w:rPr>
              <w:t>65 años.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Estatal: </w:t>
            </w: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Eslovaquia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1º Pilar: </w:t>
            </w:r>
            <w:r w:rsidRPr="00C35F00">
              <w:rPr>
                <w:sz w:val="14"/>
                <w:szCs w:val="14"/>
              </w:rPr>
              <w:t>15 años cotizados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2º Pilar: </w:t>
            </w:r>
            <w:r w:rsidRPr="00C35F00">
              <w:rPr>
                <w:sz w:val="14"/>
                <w:szCs w:val="14"/>
              </w:rPr>
              <w:t>15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62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Eslovenia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años cotizados</w:t>
            </w:r>
          </w:p>
        </w:tc>
        <w:tc>
          <w:tcPr>
            <w:tcW w:w="2551" w:type="dxa"/>
            <w:vAlign w:val="center"/>
          </w:tcPr>
          <w:p w:rsidR="00A15044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</w:t>
            </w:r>
            <w:r>
              <w:rPr>
                <w:sz w:val="14"/>
                <w:szCs w:val="14"/>
              </w:rPr>
              <w:t xml:space="preserve">zados: Hombres: 65, Mujeres: 63 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20 años cotizados: Hombres: 63, Mujeres: 61.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 con 40 años cotizados, o Mujeres con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38: a los 58 años de edad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63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61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58 años: hombres con 40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años cotizados o mujeres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con 38 años cotizados.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España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cotizados, de los cuales al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menos 2 años deben estar entre los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15 últimos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Hasta 2012: 35 años cotizados.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Desde 2027: 37 años cotizados.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Hasta 2012: 65 años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Desde 2027: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Con 38 años y medio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cotizados: 65años.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Con menos de 38 años y medio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cotizados: 67 años.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63 años: con 33 años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cotizados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61 años: situaciones de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crisis empresarial.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Estonia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1º Pilar: </w:t>
            </w:r>
            <w:r w:rsidRPr="00C35F00">
              <w:rPr>
                <w:sz w:val="14"/>
                <w:szCs w:val="14"/>
              </w:rPr>
              <w:t>15 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2º Pilar: </w:t>
            </w:r>
            <w:r w:rsidRPr="00C35F00">
              <w:rPr>
                <w:sz w:val="14"/>
                <w:szCs w:val="14"/>
              </w:rPr>
              <w:t>5 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63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 años antes (15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cotizados)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Finlandia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Nacional: </w:t>
            </w:r>
            <w:r w:rsidRPr="00C35F00">
              <w:rPr>
                <w:sz w:val="14"/>
                <w:szCs w:val="14"/>
              </w:rPr>
              <w:t>3 años de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residencia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Nacional: </w:t>
            </w:r>
            <w:r w:rsidRPr="00C35F00">
              <w:rPr>
                <w:sz w:val="14"/>
                <w:szCs w:val="14"/>
              </w:rPr>
              <w:t>80% de residencia entre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los 16 y 65 añ</w:t>
            </w:r>
            <w:r>
              <w:rPr>
                <w:sz w:val="14"/>
                <w:szCs w:val="14"/>
              </w:rPr>
              <w:t>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Complementaria: </w:t>
            </w:r>
            <w:r w:rsidRPr="00C35F00">
              <w:rPr>
                <w:sz w:val="14"/>
                <w:szCs w:val="14"/>
              </w:rPr>
              <w:t>No existe el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Nacional: </w:t>
            </w:r>
            <w:r w:rsidRPr="00C35F00">
              <w:rPr>
                <w:sz w:val="14"/>
                <w:szCs w:val="14"/>
              </w:rPr>
              <w:t>65 años.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Pensión Complementaria: </w:t>
            </w:r>
            <w:r w:rsidRPr="00C35F00">
              <w:rPr>
                <w:sz w:val="14"/>
                <w:szCs w:val="14"/>
              </w:rPr>
              <w:t>a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partir de los 63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62 años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Francia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se exige periodo mínimo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>Régimen General de vejez: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62 años.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>Pensión Complementaria: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ó 67 años (según períodos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cotizados)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56 años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Grecia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35 años cotizados: 80%.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Asegurados después de 1993, con 35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proofErr w:type="gramStart"/>
            <w:r w:rsidRPr="00C35F00">
              <w:rPr>
                <w:sz w:val="14"/>
                <w:szCs w:val="14"/>
              </w:rPr>
              <w:t>cotizados</w:t>
            </w:r>
            <w:proofErr w:type="gramEnd"/>
            <w:r w:rsidRPr="00C35F00">
              <w:rPr>
                <w:sz w:val="14"/>
                <w:szCs w:val="14"/>
              </w:rPr>
              <w:t>: 70%.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Asegurados antes de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1/01/1993: Hombres 65 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y Mujeres 60 años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Asegurados después de 1993: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Hombres y Mujeres 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60 años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Holanda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se exige período mínimo.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Hungría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1º Pilar: </w:t>
            </w:r>
            <w:r w:rsidRPr="00C35F00">
              <w:rPr>
                <w:sz w:val="14"/>
                <w:szCs w:val="14"/>
              </w:rPr>
              <w:t>15 años.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b/>
                <w:bCs/>
                <w:sz w:val="14"/>
                <w:szCs w:val="14"/>
              </w:rPr>
              <w:t xml:space="preserve">2º Pilar: </w:t>
            </w:r>
            <w:r w:rsidRPr="00C35F00">
              <w:rPr>
                <w:sz w:val="14"/>
                <w:szCs w:val="14"/>
              </w:rPr>
              <w:t>No se exige un mínimo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 partir de 2022: 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Según Profesiones penosas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Irlanda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66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Italia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Asegurados antes de 1996: 20 años</w:t>
            </w:r>
            <w:r>
              <w:rPr>
                <w:sz w:val="14"/>
                <w:szCs w:val="14"/>
              </w:rPr>
              <w:t xml:space="preserve"> cotizados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Asegurados desde 1996: 5 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Hombres: 65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60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59 años (36 años cotizados)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A cualquier edad, con 40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Letonia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Lituania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cotizados.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30 años cotizados.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62,5 años.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60 años.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60 años (30 años cotizados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y 12 meses desempleados)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Luxemburgo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10 años cotizados.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40 años cotizados.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años.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Malta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10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Nacidos desde 1962: 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61 años (40 cotizados)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Polonia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25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20 años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Completa.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65</w:t>
            </w:r>
            <w:r>
              <w:rPr>
                <w:sz w:val="14"/>
                <w:szCs w:val="14"/>
              </w:rPr>
              <w:t xml:space="preserve">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60</w:t>
            </w:r>
            <w:r>
              <w:rPr>
                <w:sz w:val="14"/>
                <w:szCs w:val="14"/>
              </w:rPr>
              <w:t>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Portugal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55 años (30 años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cotizados)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lastRenderedPageBreak/>
              <w:t>Republica Checa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35 años (o 20 años si la persona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retirada excede la edad de retiro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para hombre al menos 5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años)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existe el concepto de Pensión Completa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 para hombres y mujeres con 1 hijo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De 62 a 64 años para mujeres</w:t>
            </w:r>
            <w:r>
              <w:rPr>
                <w:sz w:val="14"/>
                <w:szCs w:val="14"/>
              </w:rPr>
              <w:t xml:space="preserve"> con más de 1 hijo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 años de antelación a la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edad normal de jubilación.</w:t>
            </w:r>
          </w:p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Se exigen tener al menos 26</w:t>
            </w:r>
            <w:r>
              <w:rPr>
                <w:sz w:val="14"/>
                <w:szCs w:val="14"/>
              </w:rPr>
              <w:t xml:space="preserve"> </w:t>
            </w:r>
            <w:r w:rsidRPr="00C35F00">
              <w:rPr>
                <w:sz w:val="14"/>
                <w:szCs w:val="14"/>
              </w:rPr>
              <w:t>años cotizados.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Reino Unido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10 – 11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65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Rumania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15 años cotizados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Hombre: 35 años cotizados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30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Hombres: 63</w:t>
            </w:r>
            <w:r>
              <w:rPr>
                <w:sz w:val="14"/>
                <w:szCs w:val="14"/>
              </w:rPr>
              <w:t xml:space="preserve">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Mujeres: 60</w:t>
            </w:r>
            <w:r>
              <w:rPr>
                <w:sz w:val="14"/>
                <w:szCs w:val="14"/>
              </w:rPr>
              <w:t xml:space="preserve">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5 años antes (10 años</w:t>
            </w:r>
          </w:p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proofErr w:type="gramStart"/>
            <w:r w:rsidRPr="00C35F00">
              <w:rPr>
                <w:sz w:val="14"/>
                <w:szCs w:val="14"/>
              </w:rPr>
              <w:t>cotizados</w:t>
            </w:r>
            <w:proofErr w:type="gramEnd"/>
            <w:r w:rsidRPr="00C35F00">
              <w:rPr>
                <w:sz w:val="14"/>
                <w:szCs w:val="14"/>
              </w:rPr>
              <w:t>).</w:t>
            </w:r>
          </w:p>
        </w:tc>
      </w:tr>
      <w:tr w:rsidR="00A15044" w:rsidRPr="00C35F00" w:rsidTr="00EB41B3">
        <w:trPr>
          <w:cantSplit/>
          <w:tblHeader/>
        </w:trPr>
        <w:tc>
          <w:tcPr>
            <w:tcW w:w="1384" w:type="dxa"/>
            <w:vAlign w:val="center"/>
          </w:tcPr>
          <w:p w:rsidR="00A15044" w:rsidRPr="002C6E67" w:rsidRDefault="00A15044" w:rsidP="002C6E67">
            <w:pPr>
              <w:spacing w:line="240" w:lineRule="auto"/>
              <w:rPr>
                <w:b/>
                <w:sz w:val="20"/>
              </w:rPr>
            </w:pPr>
            <w:r w:rsidRPr="002C6E67">
              <w:rPr>
                <w:b/>
                <w:sz w:val="20"/>
              </w:rPr>
              <w:t>Suecia</w:t>
            </w:r>
          </w:p>
        </w:tc>
        <w:tc>
          <w:tcPr>
            <w:tcW w:w="1843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3 años de residencia</w:t>
            </w:r>
          </w:p>
        </w:tc>
        <w:tc>
          <w:tcPr>
            <w:tcW w:w="255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40 años cotizados</w:t>
            </w:r>
          </w:p>
        </w:tc>
        <w:tc>
          <w:tcPr>
            <w:tcW w:w="1701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67 años. Flexible: 61 años</w:t>
            </w:r>
          </w:p>
        </w:tc>
        <w:tc>
          <w:tcPr>
            <w:tcW w:w="1560" w:type="dxa"/>
            <w:vAlign w:val="center"/>
          </w:tcPr>
          <w:p w:rsidR="00A15044" w:rsidRPr="00C35F00" w:rsidRDefault="00A15044" w:rsidP="002C6E67">
            <w:pPr>
              <w:spacing w:line="240" w:lineRule="auto"/>
              <w:rPr>
                <w:sz w:val="14"/>
                <w:szCs w:val="14"/>
              </w:rPr>
            </w:pPr>
            <w:r w:rsidRPr="00C35F00">
              <w:rPr>
                <w:sz w:val="14"/>
                <w:szCs w:val="14"/>
              </w:rPr>
              <w:t>No es posible</w:t>
            </w:r>
          </w:p>
        </w:tc>
      </w:tr>
    </w:tbl>
    <w:p w:rsidR="00A15044" w:rsidRPr="003531DA" w:rsidRDefault="00A15044" w:rsidP="00A1504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</w:p>
    <w:p w:rsidR="00A15044" w:rsidRPr="003531DA" w:rsidRDefault="00A15044" w:rsidP="00A15044">
      <w:pPr>
        <w:spacing w:line="240" w:lineRule="auto"/>
        <w:jc w:val="left"/>
        <w:rPr>
          <w:rFonts w:cs="Times New Roman"/>
          <w:sz w:val="20"/>
          <w:szCs w:val="20"/>
        </w:rPr>
      </w:pPr>
      <w:r w:rsidRPr="003531DA">
        <w:rPr>
          <w:rFonts w:cs="Times New Roman"/>
          <w:sz w:val="20"/>
          <w:szCs w:val="20"/>
        </w:rPr>
        <w:t xml:space="preserve">Fuente: UGT Madrid ( </w:t>
      </w:r>
      <w:hyperlink r:id="rId5" w:history="1">
        <w:r w:rsidRPr="003531DA">
          <w:rPr>
            <w:rStyle w:val="Hipervnculo"/>
            <w:rFonts w:cs="Times New Roman"/>
            <w:sz w:val="20"/>
            <w:szCs w:val="20"/>
          </w:rPr>
          <w:t>http://ugtmadrid112.files.wordpress.com/2011/02/pensiones-en-europa.pdf</w:t>
        </w:r>
      </w:hyperlink>
      <w:r w:rsidRPr="003531DA">
        <w:rPr>
          <w:rFonts w:cs="Times New Roman"/>
          <w:sz w:val="20"/>
          <w:szCs w:val="20"/>
        </w:rPr>
        <w:t xml:space="preserve">) </w:t>
      </w:r>
    </w:p>
    <w:p w:rsidR="00A15044" w:rsidRPr="003531DA" w:rsidRDefault="00A15044" w:rsidP="00A15044">
      <w:pPr>
        <w:spacing w:line="240" w:lineRule="auto"/>
        <w:jc w:val="left"/>
        <w:rPr>
          <w:rFonts w:cs="Times New Roman"/>
          <w:bCs/>
          <w:sz w:val="20"/>
          <w:szCs w:val="20"/>
          <w:lang w:val="en-US"/>
        </w:rPr>
      </w:pPr>
      <w:r w:rsidRPr="003531DA">
        <w:rPr>
          <w:rFonts w:cs="Times New Roman"/>
          <w:sz w:val="20"/>
          <w:szCs w:val="20"/>
        </w:rPr>
        <w:tab/>
      </w:r>
      <w:proofErr w:type="gramStart"/>
      <w:r w:rsidRPr="003531DA">
        <w:rPr>
          <w:rFonts w:cs="Times New Roman"/>
          <w:sz w:val="20"/>
          <w:szCs w:val="20"/>
          <w:lang w:val="en-US"/>
        </w:rPr>
        <w:t xml:space="preserve">A  </w:t>
      </w:r>
      <w:proofErr w:type="spellStart"/>
      <w:r w:rsidRPr="003531DA">
        <w:rPr>
          <w:rFonts w:cs="Times New Roman"/>
          <w:sz w:val="20"/>
          <w:szCs w:val="20"/>
          <w:lang w:val="en-US"/>
        </w:rPr>
        <w:t>partir</w:t>
      </w:r>
      <w:proofErr w:type="spellEnd"/>
      <w:proofErr w:type="gramEnd"/>
      <w:r w:rsidRPr="003531DA">
        <w:rPr>
          <w:rFonts w:cs="Times New Roman"/>
          <w:sz w:val="20"/>
          <w:szCs w:val="20"/>
          <w:lang w:val="en-US"/>
        </w:rPr>
        <w:t xml:space="preserve"> de</w:t>
      </w:r>
      <w:r w:rsidRPr="003531DA">
        <w:rPr>
          <w:rFonts w:cs="Times New Roman"/>
          <w:b/>
          <w:bCs/>
          <w:sz w:val="20"/>
          <w:szCs w:val="20"/>
          <w:lang w:val="en-US"/>
        </w:rPr>
        <w:t xml:space="preserve">: </w:t>
      </w:r>
      <w:r w:rsidRPr="003531DA">
        <w:rPr>
          <w:rFonts w:cs="Times New Roman"/>
          <w:bCs/>
          <w:sz w:val="20"/>
          <w:szCs w:val="20"/>
          <w:lang w:val="en-US"/>
        </w:rPr>
        <w:t>EU's Mutual Information System on Social Protection (MISSOC)</w:t>
      </w:r>
    </w:p>
    <w:p w:rsidR="00A15044" w:rsidRPr="003531DA" w:rsidRDefault="00A15044" w:rsidP="00A15044">
      <w:pPr>
        <w:spacing w:line="240" w:lineRule="auto"/>
        <w:jc w:val="left"/>
        <w:rPr>
          <w:rFonts w:ascii="Verdana" w:hAnsi="Verdana" w:cs="Verdana"/>
          <w:b/>
          <w:bCs/>
          <w:sz w:val="20"/>
          <w:szCs w:val="20"/>
          <w:lang w:val="en-US"/>
        </w:rPr>
      </w:pPr>
      <w:r w:rsidRPr="003531DA">
        <w:rPr>
          <w:rFonts w:cs="Times New Roman"/>
          <w:bCs/>
          <w:sz w:val="20"/>
          <w:szCs w:val="20"/>
          <w:lang w:val="en-US"/>
        </w:rPr>
        <w:tab/>
        <w:t>(</w:t>
      </w:r>
      <w:hyperlink r:id="rId6" w:history="1">
        <w:r w:rsidRPr="003531DA">
          <w:rPr>
            <w:rStyle w:val="Hipervnculo"/>
            <w:rFonts w:cs="Times New Roman"/>
            <w:bCs/>
            <w:sz w:val="20"/>
            <w:szCs w:val="20"/>
            <w:lang w:val="en-US"/>
          </w:rPr>
          <w:t>http://ec.europa.eu/employment_social/missoc/db/public/compareTables.do</w:t>
        </w:r>
      </w:hyperlink>
      <w:r w:rsidRPr="003531DA">
        <w:rPr>
          <w:rFonts w:cs="Times New Roman"/>
          <w:bCs/>
          <w:sz w:val="20"/>
          <w:szCs w:val="20"/>
          <w:lang w:val="en-US"/>
        </w:rPr>
        <w:t>)</w:t>
      </w:r>
    </w:p>
    <w:p w:rsidR="00D22941" w:rsidRDefault="00D22941">
      <w:pPr>
        <w:rPr>
          <w:lang w:val="en-US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2C6E67" w:rsidRDefault="002C6E67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D22941" w:rsidRPr="00234983" w:rsidRDefault="00D22941" w:rsidP="00D22941">
      <w:pPr>
        <w:pStyle w:val="Prrafodelista"/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234983">
        <w:rPr>
          <w:rFonts w:cs="Times New Roman"/>
          <w:b/>
          <w:szCs w:val="24"/>
        </w:rPr>
        <w:lastRenderedPageBreak/>
        <w:t>Tabla 3. Gasto en pensiones en relación al PIB. Proyecciones Eurostat.</w:t>
      </w:r>
    </w:p>
    <w:p w:rsidR="00D22941" w:rsidRPr="003531DA" w:rsidRDefault="00D22941" w:rsidP="00D22941">
      <w:pPr>
        <w:pStyle w:val="Prrafodelista"/>
        <w:spacing w:line="240" w:lineRule="auto"/>
        <w:ind w:firstLine="567"/>
        <w:outlineLvl w:val="0"/>
        <w:rPr>
          <w:rFonts w:cs="Times New Roman"/>
          <w:szCs w:val="24"/>
        </w:rPr>
      </w:pPr>
    </w:p>
    <w:tbl>
      <w:tblPr>
        <w:tblW w:w="4856" w:type="dxa"/>
        <w:jc w:val="center"/>
        <w:tblCellMar>
          <w:left w:w="70" w:type="dxa"/>
          <w:right w:w="70" w:type="dxa"/>
        </w:tblCellMar>
        <w:tblLook w:val="04A0"/>
      </w:tblPr>
      <w:tblGrid>
        <w:gridCol w:w="1596"/>
        <w:gridCol w:w="850"/>
        <w:gridCol w:w="1134"/>
        <w:gridCol w:w="1276"/>
      </w:tblGrid>
      <w:tr w:rsidR="00D22941" w:rsidRPr="000B15C9" w:rsidTr="00D22941">
        <w:trPr>
          <w:trHeight w:hRule="exact" w:val="567"/>
          <w:jc w:val="center"/>
        </w:trPr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es-ES"/>
              </w:rPr>
            </w:pPr>
            <w:r w:rsidRPr="000B15C9">
              <w:rPr>
                <w:rFonts w:ascii="Calibri" w:eastAsia="Times New Roman" w:hAnsi="Calibri" w:cs="Times New Roman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Diferencia 2060-2010</w:t>
            </w:r>
          </w:p>
        </w:tc>
      </w:tr>
      <w:tr w:rsidR="00D22941" w:rsidRPr="000B15C9" w:rsidTr="00D22941">
        <w:trPr>
          <w:trHeight w:hRule="exact" w:val="284"/>
          <w:jc w:val="center"/>
        </w:trPr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UE-27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2,3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Alemania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2,6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Austria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Bélgica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4,4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Bulgaria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2,2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Chipre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10,8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Dinamarca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  <w:t>-0,2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Eslovaquia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3,6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Eslovenia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España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6,2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Estonia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  <w:t>-1,5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Finlandia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2,7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Grecia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Holanda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Hungría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Irlanda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Italia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  <w:t>-0,4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Letonia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Lituania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4,9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Luxemburgo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15,3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5,1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Polonia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  <w:t>-2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Portugal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1,5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Reino Unido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2,6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Republica Checa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3,9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Rumania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7,4</w:t>
            </w:r>
          </w:p>
        </w:tc>
      </w:tr>
      <w:tr w:rsidR="00D22941" w:rsidRPr="000B15C9" w:rsidTr="00D22941">
        <w:trPr>
          <w:trHeight w:hRule="exact" w:val="227"/>
          <w:jc w:val="center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Suecia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41" w:rsidRPr="000B15C9" w:rsidRDefault="00D22941" w:rsidP="00D22941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</w:pPr>
            <w:r w:rsidRPr="000B15C9">
              <w:rPr>
                <w:rFonts w:eastAsia="Times New Roman" w:cs="Times New Roman"/>
                <w:color w:val="FF0000"/>
                <w:sz w:val="20"/>
                <w:szCs w:val="20"/>
                <w:lang w:eastAsia="es-ES"/>
              </w:rPr>
              <w:t>-0,2</w:t>
            </w:r>
          </w:p>
        </w:tc>
      </w:tr>
    </w:tbl>
    <w:p w:rsidR="00D22941" w:rsidRPr="00B82478" w:rsidRDefault="00D22941" w:rsidP="00D22941">
      <w:pPr>
        <w:pStyle w:val="Prrafodelista"/>
        <w:spacing w:line="240" w:lineRule="auto"/>
        <w:ind w:firstLine="567"/>
        <w:rPr>
          <w:rFonts w:cs="Times New Roman"/>
          <w:color w:val="0070C0"/>
          <w:szCs w:val="24"/>
        </w:rPr>
      </w:pPr>
    </w:p>
    <w:p w:rsidR="00D22941" w:rsidRDefault="00D22941" w:rsidP="00D22941">
      <w:pPr>
        <w:pStyle w:val="Prrafodelista"/>
        <w:spacing w:line="240" w:lineRule="auto"/>
        <w:ind w:firstLine="567"/>
        <w:outlineLvl w:val="0"/>
        <w:rPr>
          <w:rFonts w:cs="Times New Roman"/>
          <w:sz w:val="20"/>
          <w:szCs w:val="20"/>
        </w:rPr>
      </w:pPr>
      <w:r w:rsidRPr="003531DA">
        <w:rPr>
          <w:rFonts w:cs="Times New Roman"/>
          <w:sz w:val="20"/>
          <w:szCs w:val="20"/>
        </w:rPr>
        <w:t xml:space="preserve">Fuente: </w:t>
      </w:r>
      <w:r>
        <w:rPr>
          <w:rFonts w:cs="Times New Roman"/>
          <w:sz w:val="20"/>
          <w:szCs w:val="20"/>
        </w:rPr>
        <w:t>Eurostat</w:t>
      </w:r>
      <w:r w:rsidRPr="003531DA">
        <w:rPr>
          <w:rFonts w:cs="Times New Roman"/>
          <w:sz w:val="20"/>
          <w:szCs w:val="20"/>
        </w:rPr>
        <w:t>.</w:t>
      </w: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D22941" w:rsidRDefault="00D22941">
      <w:pPr>
        <w:rPr>
          <w:lang w:val="en-US"/>
        </w:rPr>
      </w:pPr>
    </w:p>
    <w:p w:rsidR="0050699B" w:rsidRDefault="0050699B" w:rsidP="0050699B">
      <w:pPr>
        <w:spacing w:line="240" w:lineRule="auto"/>
        <w:jc w:val="center"/>
        <w:rPr>
          <w:rFonts w:cs="Times New Roman"/>
          <w:b/>
          <w:szCs w:val="24"/>
        </w:rPr>
      </w:pPr>
      <w:r w:rsidRPr="003531DA">
        <w:rPr>
          <w:rFonts w:cs="Times New Roman"/>
          <w:b/>
          <w:szCs w:val="24"/>
        </w:rPr>
        <w:lastRenderedPageBreak/>
        <w:t>Tabla 4. Esperanza de vida  por género.</w:t>
      </w:r>
    </w:p>
    <w:p w:rsidR="0050699B" w:rsidRPr="003531DA" w:rsidRDefault="0050699B" w:rsidP="0050699B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00"/>
        <w:gridCol w:w="658"/>
        <w:gridCol w:w="567"/>
        <w:gridCol w:w="709"/>
        <w:gridCol w:w="567"/>
        <w:gridCol w:w="567"/>
        <w:gridCol w:w="709"/>
        <w:gridCol w:w="283"/>
        <w:gridCol w:w="709"/>
        <w:gridCol w:w="567"/>
        <w:gridCol w:w="709"/>
        <w:gridCol w:w="567"/>
        <w:gridCol w:w="567"/>
        <w:gridCol w:w="708"/>
      </w:tblGrid>
      <w:tr w:rsidR="0050699B" w:rsidRPr="00ED4236" w:rsidTr="00EB41B3">
        <w:trPr>
          <w:trHeight w:hRule="exact"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Esperanza de vida al nacer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Esperanza de vida a los 65 años</w:t>
            </w:r>
          </w:p>
        </w:tc>
      </w:tr>
      <w:tr w:rsidR="0050699B" w:rsidRPr="00ED4236" w:rsidTr="00EB41B3">
        <w:trPr>
          <w:trHeight w:hRule="exact"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Mujeres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Mujeres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Difer</w:t>
            </w:r>
            <w:proofErr w:type="spellEnd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Difer</w:t>
            </w:r>
            <w:proofErr w:type="spellEnd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Difer</w:t>
            </w:r>
            <w:proofErr w:type="spellEnd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Difer</w:t>
            </w:r>
            <w:proofErr w:type="spellEnd"/>
            <w:r w:rsidRPr="006632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Alemania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1,5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Austria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83,2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1,8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Bélgica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1,5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Bulgaria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67,4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70,1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12,5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Chipre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83,6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2,9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Dinamarca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81,1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1,2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Eslovaquia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68,6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71,4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12,8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1,4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Eslovenia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71,3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4,6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2,4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España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22,4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Estonia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63,9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69,8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5,9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4,8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Finlandia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73,6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Francia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23,2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Grecia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1,9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Holanda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1,6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Hungría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66,5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70,3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75,6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12,5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1,8</w:t>
            </w:r>
          </w:p>
        </w:tc>
      </w:tr>
      <w:tr w:rsidR="0050699B" w:rsidRPr="00ED4236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Irlanda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73,4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Italia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Letonia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68,1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Lituania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67,5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0,1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Luxemburgo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73,7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4,4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83,3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1,9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Malta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Polonia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68,9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19,2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2,1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Portugal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72,4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4,1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Reino Unido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2,2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Rep. Checa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71,2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74,2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78,2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80,5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1,8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Rumania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66,3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69,8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73,8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77,4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3,6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15,5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17,2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1,7</w:t>
            </w:r>
          </w:p>
        </w:tc>
      </w:tr>
      <w:tr w:rsidR="0050699B" w:rsidRPr="000B15C9" w:rsidTr="00EB41B3">
        <w:trPr>
          <w:trHeight w:hRule="exact" w:val="2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Suecia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76,9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79,4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82,1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83,5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16,4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18,2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20,2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21,2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  <w:hideMark/>
          </w:tcPr>
          <w:p w:rsidR="0050699B" w:rsidRPr="00663259" w:rsidRDefault="0050699B" w:rsidP="00EB41B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663259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ES"/>
              </w:rPr>
              <w:t>1</w:t>
            </w:r>
          </w:p>
        </w:tc>
      </w:tr>
    </w:tbl>
    <w:p w:rsidR="0050699B" w:rsidRPr="00C56553" w:rsidRDefault="0050699B" w:rsidP="0050699B">
      <w:pPr>
        <w:spacing w:line="240" w:lineRule="auto"/>
        <w:jc w:val="center"/>
        <w:rPr>
          <w:rFonts w:cs="Times New Roman"/>
          <w:b/>
          <w:color w:val="31849B" w:themeColor="accent5" w:themeShade="BF"/>
          <w:szCs w:val="24"/>
        </w:rPr>
      </w:pPr>
    </w:p>
    <w:p w:rsidR="0050699B" w:rsidRPr="00583835" w:rsidRDefault="0050699B" w:rsidP="0050699B">
      <w:pPr>
        <w:spacing w:line="240" w:lineRule="auto"/>
        <w:rPr>
          <w:rFonts w:cs="Times New Roman"/>
          <w:sz w:val="20"/>
          <w:szCs w:val="20"/>
        </w:rPr>
      </w:pPr>
      <w:r w:rsidRPr="00583835">
        <w:rPr>
          <w:rFonts w:cs="Times New Roman"/>
          <w:sz w:val="20"/>
          <w:szCs w:val="20"/>
        </w:rPr>
        <w:t xml:space="preserve">Fuente: </w:t>
      </w:r>
      <w:r>
        <w:rPr>
          <w:rFonts w:cs="Times New Roman"/>
          <w:sz w:val="20"/>
          <w:szCs w:val="20"/>
        </w:rPr>
        <w:t>Eurostat</w:t>
      </w:r>
      <w:r w:rsidRPr="00583835">
        <w:rPr>
          <w:rFonts w:cs="Times New Roman"/>
          <w:sz w:val="20"/>
          <w:szCs w:val="20"/>
        </w:rPr>
        <w:t>.</w:t>
      </w: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2C6E67" w:rsidRDefault="002C6E6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2C6E67" w:rsidRDefault="002C6E6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2C6E67" w:rsidRDefault="002C6E6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2C6E67" w:rsidRDefault="002C6E6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Pr="006C5A1D" w:rsidRDefault="00FA5D97" w:rsidP="00FA5D97">
      <w:pPr>
        <w:jc w:val="center"/>
        <w:rPr>
          <w:rFonts w:cs="Times New Roman"/>
          <w:b/>
          <w:szCs w:val="24"/>
        </w:rPr>
      </w:pPr>
      <w:r w:rsidRPr="006C5A1D">
        <w:rPr>
          <w:rFonts w:cs="Times New Roman"/>
          <w:b/>
          <w:szCs w:val="24"/>
        </w:rPr>
        <w:lastRenderedPageBreak/>
        <w:t>Tabla</w:t>
      </w:r>
      <w:r w:rsidR="002C6E6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5</w:t>
      </w:r>
      <w:r w:rsidRPr="006C5A1D">
        <w:rPr>
          <w:rFonts w:cs="Times New Roman"/>
          <w:b/>
          <w:szCs w:val="24"/>
        </w:rPr>
        <w:t>. Reformas recientes en los sistemas de pensiones de la UE-15</w:t>
      </w:r>
      <w:r>
        <w:rPr>
          <w:rFonts w:cs="Times New Roman"/>
          <w:b/>
          <w:szCs w:val="24"/>
        </w:rPr>
        <w:t>.</w:t>
      </w:r>
    </w:p>
    <w:tbl>
      <w:tblPr>
        <w:tblStyle w:val="Tablaconcuadrcula"/>
        <w:tblW w:w="5000" w:type="pct"/>
        <w:tblLayout w:type="fixed"/>
        <w:tblLook w:val="04A0"/>
      </w:tblPr>
      <w:tblGrid>
        <w:gridCol w:w="1475"/>
        <w:gridCol w:w="906"/>
        <w:gridCol w:w="1056"/>
        <w:gridCol w:w="755"/>
        <w:gridCol w:w="1056"/>
        <w:gridCol w:w="1056"/>
        <w:gridCol w:w="1208"/>
        <w:gridCol w:w="906"/>
        <w:gridCol w:w="868"/>
      </w:tblGrid>
      <w:tr w:rsidR="00FA5D97" w:rsidRPr="00777504" w:rsidTr="00EB41B3">
        <w:trPr>
          <w:trHeight w:val="610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:rsidR="00FA5D97" w:rsidRPr="006C5A1D" w:rsidRDefault="00FA5D97" w:rsidP="00EB41B3">
            <w:pPr>
              <w:jc w:val="center"/>
              <w:rPr>
                <w:b/>
              </w:rPr>
            </w:pPr>
            <w:r w:rsidRPr="006C5A1D">
              <w:rPr>
                <w:b/>
              </w:rPr>
              <w:t>UE-15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noWrap/>
            <w:hideMark/>
          </w:tcPr>
          <w:p w:rsidR="00FA5D97" w:rsidRPr="00AD0FAF" w:rsidRDefault="00FA5D97" w:rsidP="00EB41B3">
            <w:pPr>
              <w:jc w:val="center"/>
              <w:rPr>
                <w:b/>
              </w:rPr>
            </w:pPr>
            <w:r w:rsidRPr="00AD0FAF">
              <w:rPr>
                <w:b/>
              </w:rPr>
              <w:t>Reformas</w:t>
            </w:r>
          </w:p>
          <w:p w:rsidR="00FA5D97" w:rsidRPr="00AD0FAF" w:rsidRDefault="00FA5D97" w:rsidP="00EB41B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AD0FAF">
              <w:rPr>
                <w:b/>
              </w:rPr>
              <w:t>aramétricas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A5D97" w:rsidRPr="00AD0FAF" w:rsidRDefault="00FA5D97" w:rsidP="00EB41B3">
            <w:pPr>
              <w:jc w:val="center"/>
              <w:rPr>
                <w:b/>
              </w:rPr>
            </w:pPr>
            <w:r w:rsidRPr="00AD0FAF">
              <w:rPr>
                <w:b/>
              </w:rPr>
              <w:t>Reformas</w:t>
            </w:r>
          </w:p>
          <w:p w:rsidR="00FA5D97" w:rsidRPr="00AD0FAF" w:rsidRDefault="00FA5D97" w:rsidP="00EB41B3">
            <w:pPr>
              <w:jc w:val="center"/>
              <w:rPr>
                <w:b/>
              </w:rPr>
            </w:pPr>
            <w:r w:rsidRPr="00AD0FAF">
              <w:rPr>
                <w:b/>
              </w:rPr>
              <w:t>Estructurales</w:t>
            </w:r>
          </w:p>
        </w:tc>
      </w:tr>
      <w:tr w:rsidR="00FA5D97" w:rsidRPr="00777504" w:rsidTr="00EB41B3">
        <w:trPr>
          <w:trHeight w:val="300"/>
        </w:trPr>
        <w:tc>
          <w:tcPr>
            <w:tcW w:w="1384" w:type="dxa"/>
            <w:vMerge/>
            <w:noWrap/>
            <w:hideMark/>
          </w:tcPr>
          <w:p w:rsidR="00FA5D97" w:rsidRPr="00777504" w:rsidRDefault="00FA5D97" w:rsidP="00EB41B3"/>
        </w:tc>
        <w:tc>
          <w:tcPr>
            <w:tcW w:w="851" w:type="dxa"/>
            <w:vMerge w:val="restart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 w:rsidRPr="00AD0FAF">
              <w:rPr>
                <w:b/>
                <w:sz w:val="14"/>
                <w:szCs w:val="14"/>
              </w:rPr>
              <w:t>Edad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</w:t>
            </w:r>
            <w:r w:rsidRPr="00AD0FAF">
              <w:rPr>
                <w:b/>
                <w:sz w:val="14"/>
                <w:szCs w:val="14"/>
              </w:rPr>
              <w:t>ubilación</w:t>
            </w:r>
          </w:p>
        </w:tc>
        <w:tc>
          <w:tcPr>
            <w:tcW w:w="992" w:type="dxa"/>
            <w:vMerge w:val="restart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 w:rsidRPr="00AD0FAF">
              <w:rPr>
                <w:b/>
                <w:sz w:val="14"/>
                <w:szCs w:val="14"/>
              </w:rPr>
              <w:t>Incentivos prolongar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</w:t>
            </w:r>
            <w:r w:rsidRPr="00AD0FAF">
              <w:rPr>
                <w:b/>
                <w:sz w:val="14"/>
                <w:szCs w:val="14"/>
              </w:rPr>
              <w:t>ida laboral</w:t>
            </w:r>
          </w:p>
        </w:tc>
        <w:tc>
          <w:tcPr>
            <w:tcW w:w="1701" w:type="dxa"/>
            <w:gridSpan w:val="2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Cálculo de la pensión</w:t>
            </w:r>
          </w:p>
        </w:tc>
        <w:tc>
          <w:tcPr>
            <w:tcW w:w="992" w:type="dxa"/>
            <w:vMerge w:val="restart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AD0FAF">
              <w:rPr>
                <w:b/>
                <w:sz w:val="14"/>
                <w:szCs w:val="14"/>
              </w:rPr>
              <w:t>Actualizac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  <w:r w:rsidRPr="00AD0FAF">
              <w:rPr>
                <w:b/>
                <w:sz w:val="14"/>
                <w:szCs w:val="14"/>
              </w:rPr>
              <w:t>ensión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 w:rsidRPr="00AD0FAF">
              <w:rPr>
                <w:b/>
                <w:sz w:val="14"/>
                <w:szCs w:val="14"/>
              </w:rPr>
              <w:t>Factor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Sostenibili</w:t>
            </w:r>
            <w:r w:rsidRPr="00AD0FAF">
              <w:rPr>
                <w:b/>
                <w:sz w:val="14"/>
                <w:szCs w:val="14"/>
              </w:rPr>
              <w:t>dad</w:t>
            </w:r>
          </w:p>
        </w:tc>
        <w:tc>
          <w:tcPr>
            <w:tcW w:w="851" w:type="dxa"/>
            <w:vMerge w:val="restart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Contrib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Definida</w:t>
            </w:r>
          </w:p>
        </w:tc>
        <w:tc>
          <w:tcPr>
            <w:tcW w:w="815" w:type="dxa"/>
            <w:vMerge w:val="restart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Contrib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nocional</w:t>
            </w:r>
          </w:p>
        </w:tc>
      </w:tr>
      <w:tr w:rsidR="00FA5D97" w:rsidRPr="00777504" w:rsidTr="00EB41B3">
        <w:trPr>
          <w:trHeight w:val="300"/>
        </w:trPr>
        <w:tc>
          <w:tcPr>
            <w:tcW w:w="1384" w:type="dxa"/>
            <w:vMerge/>
            <w:noWrap/>
            <w:hideMark/>
          </w:tcPr>
          <w:p w:rsidR="00FA5D97" w:rsidRPr="00777504" w:rsidRDefault="00FA5D97" w:rsidP="00EB41B3"/>
        </w:tc>
        <w:tc>
          <w:tcPr>
            <w:tcW w:w="851" w:type="dxa"/>
            <w:vMerge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 w:rsidRPr="00AD0FAF">
              <w:rPr>
                <w:b/>
                <w:sz w:val="14"/>
                <w:szCs w:val="14"/>
              </w:rPr>
              <w:t>Media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AD0FAF">
              <w:rPr>
                <w:b/>
                <w:sz w:val="14"/>
                <w:szCs w:val="14"/>
              </w:rPr>
              <w:t>Actualizac</w:t>
            </w:r>
            <w:proofErr w:type="spellEnd"/>
            <w:r w:rsidRPr="00AD0FAF">
              <w:rPr>
                <w:b/>
                <w:sz w:val="14"/>
                <w:szCs w:val="14"/>
              </w:rPr>
              <w:t>.</w:t>
            </w:r>
          </w:p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  <w:r w:rsidRPr="00AD0FAF">
              <w:rPr>
                <w:b/>
                <w:sz w:val="14"/>
                <w:szCs w:val="14"/>
              </w:rPr>
              <w:t>ases</w:t>
            </w:r>
          </w:p>
        </w:tc>
        <w:tc>
          <w:tcPr>
            <w:tcW w:w="992" w:type="dxa"/>
            <w:vMerge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5" w:type="dxa"/>
            <w:vMerge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AD0FAF" w:rsidRDefault="00FA5D97" w:rsidP="00EB41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Alemania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Austria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Bélgica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Dinamarca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 w:rsidRPr="00777504">
              <w:t>España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Finlandia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 w:rsidRPr="00777504">
              <w:t>Francia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Default="00FA5D97" w:rsidP="00EB41B3">
            <w:r>
              <w:t>Grecia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Default="00FA5D97" w:rsidP="00EB41B3">
            <w:r>
              <w:t>Holanda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Irlanda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 w:rsidRPr="00777504">
              <w:t>Italia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Luxemburgo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Portugal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 w:rsidRPr="00777504">
              <w:t>Reino Unido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A5D97" w:rsidRPr="00777504" w:rsidTr="00EB41B3">
        <w:trPr>
          <w:cantSplit/>
          <w:trHeight w:val="227"/>
        </w:trPr>
        <w:tc>
          <w:tcPr>
            <w:tcW w:w="1384" w:type="dxa"/>
            <w:noWrap/>
            <w:vAlign w:val="center"/>
            <w:hideMark/>
          </w:tcPr>
          <w:p w:rsidR="00FA5D97" w:rsidRPr="00777504" w:rsidRDefault="00FA5D97" w:rsidP="00EB41B3">
            <w:r>
              <w:t>Suecia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  <w:tc>
          <w:tcPr>
            <w:tcW w:w="815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FA5D97" w:rsidRPr="00755843" w:rsidRDefault="00FA5D97" w:rsidP="00EB41B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55843">
              <w:rPr>
                <w:b/>
                <w:color w:val="00B050"/>
                <w:sz w:val="28"/>
                <w:szCs w:val="28"/>
              </w:rPr>
              <w:t>X</w:t>
            </w:r>
          </w:p>
        </w:tc>
      </w:tr>
    </w:tbl>
    <w:p w:rsidR="00FA5D97" w:rsidRPr="006C5A1D" w:rsidRDefault="00FA5D97" w:rsidP="00FA5D97">
      <w:pPr>
        <w:rPr>
          <w:rFonts w:cs="Times New Roman"/>
          <w:sz w:val="20"/>
          <w:szCs w:val="20"/>
        </w:rPr>
      </w:pPr>
      <w:r w:rsidRPr="006C5A1D">
        <w:rPr>
          <w:rFonts w:cs="Times New Roman"/>
          <w:sz w:val="20"/>
          <w:szCs w:val="20"/>
        </w:rPr>
        <w:t>Fuente: Diario el País, Negocios (31.01.2011)</w:t>
      </w:r>
      <w:r>
        <w:rPr>
          <w:rFonts w:cs="Times New Roman"/>
          <w:sz w:val="20"/>
          <w:szCs w:val="20"/>
        </w:rPr>
        <w:t>.</w:t>
      </w: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FA5D97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FA5D97" w:rsidRDefault="007F658A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:rsidR="0050699B" w:rsidRDefault="0050699B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</w:p>
    <w:p w:rsidR="00D22941" w:rsidRPr="00F77EB2" w:rsidRDefault="00D22941" w:rsidP="00D22941">
      <w:pPr>
        <w:spacing w:line="240" w:lineRule="auto"/>
        <w:ind w:firstLine="567"/>
        <w:jc w:val="center"/>
        <w:rPr>
          <w:rFonts w:cs="Times New Roman"/>
          <w:b/>
          <w:szCs w:val="24"/>
        </w:rPr>
      </w:pPr>
      <w:r w:rsidRPr="00F77EB2">
        <w:rPr>
          <w:rFonts w:cs="Times New Roman"/>
          <w:b/>
          <w:szCs w:val="24"/>
        </w:rPr>
        <w:t>Gráfico 1. Proyección comparada del incremento de gasto en pensiones en relación al PIB entre 2010 y 2060</w:t>
      </w:r>
      <w:r>
        <w:rPr>
          <w:rFonts w:cs="Times New Roman"/>
          <w:b/>
          <w:szCs w:val="24"/>
        </w:rPr>
        <w:t>.</w:t>
      </w:r>
    </w:p>
    <w:p w:rsidR="00D22941" w:rsidRDefault="00D22941" w:rsidP="00D22941">
      <w:pPr>
        <w:spacing w:line="240" w:lineRule="auto"/>
        <w:ind w:firstLine="567"/>
        <w:jc w:val="center"/>
        <w:rPr>
          <w:rFonts w:cs="Times New Roman"/>
          <w:color w:val="31849B" w:themeColor="accent5" w:themeShade="BF"/>
          <w:szCs w:val="24"/>
        </w:rPr>
      </w:pPr>
    </w:p>
    <w:p w:rsidR="00D22941" w:rsidRDefault="00D22941" w:rsidP="00D22941">
      <w:pPr>
        <w:spacing w:line="240" w:lineRule="auto"/>
        <w:ind w:firstLine="567"/>
        <w:jc w:val="center"/>
        <w:rPr>
          <w:rFonts w:cs="Times New Roman"/>
          <w:color w:val="31849B" w:themeColor="accent5" w:themeShade="BF"/>
          <w:szCs w:val="24"/>
        </w:rPr>
      </w:pPr>
      <w:r w:rsidRPr="00F77EB2">
        <w:rPr>
          <w:rFonts w:cs="Times New Roman"/>
          <w:noProof/>
          <w:color w:val="31849B" w:themeColor="accent5" w:themeShade="BF"/>
          <w:szCs w:val="24"/>
          <w:lang w:eastAsia="es-ES"/>
        </w:rPr>
        <w:drawing>
          <wp:inline distT="0" distB="0" distL="0" distR="0">
            <wp:extent cx="5219700" cy="50387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2941" w:rsidRDefault="00D22941" w:rsidP="00D22941">
      <w:pPr>
        <w:spacing w:line="240" w:lineRule="auto"/>
        <w:ind w:firstLine="567"/>
        <w:rPr>
          <w:rFonts w:cs="Times New Roman"/>
          <w:color w:val="31849B" w:themeColor="accent5" w:themeShade="BF"/>
          <w:szCs w:val="24"/>
        </w:rPr>
      </w:pPr>
    </w:p>
    <w:p w:rsidR="00D22941" w:rsidRDefault="00D22941" w:rsidP="00D22941">
      <w:pPr>
        <w:ind w:left="708" w:firstLine="708"/>
        <w:jc w:val="left"/>
        <w:rPr>
          <w:sz w:val="20"/>
          <w:szCs w:val="20"/>
        </w:rPr>
      </w:pPr>
      <w:r w:rsidRPr="003240B6">
        <w:rPr>
          <w:sz w:val="20"/>
          <w:szCs w:val="20"/>
        </w:rPr>
        <w:t>Fuente: Elaboración propia a partir de datos de Eurostat</w:t>
      </w:r>
      <w:r>
        <w:rPr>
          <w:sz w:val="20"/>
          <w:szCs w:val="20"/>
        </w:rPr>
        <w:t>.</w:t>
      </w:r>
    </w:p>
    <w:p w:rsidR="00D22941" w:rsidRPr="00D22941" w:rsidRDefault="00D22941"/>
    <w:p w:rsidR="00D22941" w:rsidRPr="00D22941" w:rsidRDefault="00D22941"/>
    <w:p w:rsidR="00D22941" w:rsidRPr="00D22941" w:rsidRDefault="00D22941"/>
    <w:p w:rsidR="00D22941" w:rsidRDefault="00D22941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Pr="00B82478" w:rsidRDefault="0050699B" w:rsidP="0050699B">
      <w:pPr>
        <w:spacing w:line="240" w:lineRule="auto"/>
        <w:jc w:val="center"/>
        <w:outlineLvl w:val="0"/>
        <w:rPr>
          <w:rFonts w:eastAsiaTheme="minorEastAsia" w:cs="Times New Roman"/>
          <w:b/>
          <w:szCs w:val="24"/>
        </w:rPr>
      </w:pPr>
      <w:r w:rsidRPr="00B82478">
        <w:rPr>
          <w:rFonts w:eastAsiaTheme="minorEastAsia" w:cs="Times New Roman"/>
          <w:b/>
          <w:szCs w:val="24"/>
        </w:rPr>
        <w:t xml:space="preserve">Gráfico </w:t>
      </w:r>
      <w:r>
        <w:rPr>
          <w:rFonts w:eastAsiaTheme="minorEastAsia" w:cs="Times New Roman"/>
          <w:b/>
          <w:szCs w:val="24"/>
        </w:rPr>
        <w:t>2</w:t>
      </w:r>
      <w:r w:rsidRPr="00B82478">
        <w:rPr>
          <w:rFonts w:eastAsiaTheme="minorEastAsia" w:cs="Times New Roman"/>
          <w:b/>
          <w:szCs w:val="24"/>
        </w:rPr>
        <w:t>. Tasas de dependencia según previsiones demográficas de Eurostat</w:t>
      </w:r>
      <w:r>
        <w:rPr>
          <w:rFonts w:eastAsiaTheme="minorEastAsia" w:cs="Times New Roman"/>
          <w:b/>
          <w:szCs w:val="24"/>
        </w:rPr>
        <w:t>.</w:t>
      </w: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  <w:r w:rsidRPr="00234983">
        <w:rPr>
          <w:rFonts w:cs="Times New Roman"/>
          <w:noProof/>
          <w:color w:val="31849B" w:themeColor="accent5" w:themeShade="BF"/>
          <w:szCs w:val="24"/>
          <w:lang w:eastAsia="es-ES"/>
        </w:rPr>
        <w:drawing>
          <wp:inline distT="0" distB="0" distL="0" distR="0">
            <wp:extent cx="5610225" cy="2895600"/>
            <wp:effectExtent l="0" t="0" r="0" b="0"/>
            <wp:docPr id="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699B" w:rsidRPr="00790949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Pr="00DC64C1" w:rsidRDefault="0050699B" w:rsidP="0050699B">
      <w:pPr>
        <w:spacing w:line="240" w:lineRule="auto"/>
        <w:jc w:val="center"/>
        <w:outlineLvl w:val="0"/>
        <w:rPr>
          <w:rFonts w:eastAsiaTheme="minorEastAsia" w:cs="Times New Roman"/>
          <w:sz w:val="20"/>
          <w:szCs w:val="20"/>
        </w:rPr>
      </w:pPr>
      <w:r w:rsidRPr="00DC64C1">
        <w:rPr>
          <w:rFonts w:eastAsiaTheme="minorEastAsia" w:cs="Times New Roman"/>
          <w:sz w:val="20"/>
          <w:szCs w:val="20"/>
        </w:rPr>
        <w:t xml:space="preserve">Fuente: elaboración propia con datos de </w:t>
      </w:r>
      <w:r>
        <w:rPr>
          <w:rFonts w:eastAsiaTheme="minorEastAsia" w:cs="Times New Roman"/>
          <w:sz w:val="20"/>
          <w:szCs w:val="20"/>
        </w:rPr>
        <w:t>Eurostat</w:t>
      </w:r>
      <w:r w:rsidRPr="00DC64C1">
        <w:rPr>
          <w:rFonts w:eastAsiaTheme="minorEastAsia" w:cs="Times New Roman"/>
          <w:sz w:val="20"/>
          <w:szCs w:val="20"/>
        </w:rPr>
        <w:t>.</w:t>
      </w:r>
    </w:p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Pr="003531DA" w:rsidRDefault="0050699B" w:rsidP="0050699B">
      <w:pPr>
        <w:spacing w:line="240" w:lineRule="auto"/>
        <w:jc w:val="center"/>
        <w:rPr>
          <w:rFonts w:cs="Times New Roman"/>
          <w:b/>
          <w:szCs w:val="24"/>
        </w:rPr>
      </w:pPr>
      <w:r w:rsidRPr="003531DA">
        <w:rPr>
          <w:rFonts w:cs="Times New Roman"/>
          <w:b/>
          <w:szCs w:val="24"/>
        </w:rPr>
        <w:t xml:space="preserve">Gráfico </w:t>
      </w:r>
      <w:r>
        <w:rPr>
          <w:rFonts w:cs="Times New Roman"/>
          <w:b/>
          <w:szCs w:val="24"/>
        </w:rPr>
        <w:t>3</w:t>
      </w:r>
      <w:r w:rsidRPr="003531DA">
        <w:rPr>
          <w:rFonts w:cs="Times New Roman"/>
          <w:b/>
          <w:szCs w:val="24"/>
        </w:rPr>
        <w:t>. Pirámides de población de la UE 2009 y 2060</w:t>
      </w:r>
      <w:r>
        <w:rPr>
          <w:rFonts w:cs="Times New Roman"/>
          <w:b/>
          <w:szCs w:val="24"/>
        </w:rPr>
        <w:t>.</w:t>
      </w: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153025" cy="3629025"/>
            <wp:effectExtent l="19050" t="0" r="9525" b="0"/>
            <wp:docPr id="2" name="Imagen 1" descr="http://epp.eurostat.ec.europa.eu/statistics_explained/images/0/00/Population_pyramids%2C_EU-27%2C_2009_and_2060_%281%29_%28%25_of_the_total_population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pp.eurostat.ec.europa.eu/statistics_explained/images/0/00/Population_pyramids%2C_EU-27%2C_2009_and_2060_%281%29_%28%25_of_the_total_population%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9B" w:rsidRDefault="0050699B" w:rsidP="0050699B">
      <w:pPr>
        <w:spacing w:line="240" w:lineRule="auto"/>
        <w:ind w:firstLine="567"/>
        <w:rPr>
          <w:rFonts w:cs="Times New Roman"/>
          <w:color w:val="31849B" w:themeColor="accent5" w:themeShade="BF"/>
          <w:szCs w:val="24"/>
        </w:rPr>
      </w:pPr>
      <w:r w:rsidRPr="00042AD0">
        <w:rPr>
          <w:rFonts w:cs="Times New Roman"/>
          <w:sz w:val="20"/>
          <w:szCs w:val="20"/>
        </w:rPr>
        <w:t>Fuente: Eurostat</w:t>
      </w:r>
      <w:r>
        <w:rPr>
          <w:rFonts w:cs="Times New Roman"/>
          <w:color w:val="31849B" w:themeColor="accent5" w:themeShade="BF"/>
          <w:szCs w:val="24"/>
        </w:rPr>
        <w:t>.</w:t>
      </w:r>
    </w:p>
    <w:p w:rsidR="0050699B" w:rsidRDefault="0050699B" w:rsidP="0050699B">
      <w:pPr>
        <w:spacing w:line="240" w:lineRule="auto"/>
        <w:rPr>
          <w:rFonts w:cs="Times New Roman"/>
          <w:color w:val="31849B" w:themeColor="accent5" w:themeShade="BF"/>
          <w:szCs w:val="24"/>
        </w:rPr>
      </w:pPr>
    </w:p>
    <w:p w:rsidR="0050699B" w:rsidRDefault="0050699B"/>
    <w:p w:rsidR="0050699B" w:rsidRDefault="0050699B"/>
    <w:p w:rsidR="0050699B" w:rsidRDefault="0050699B"/>
    <w:p w:rsidR="0050699B" w:rsidRDefault="0050699B"/>
    <w:p w:rsidR="0050699B" w:rsidRDefault="0050699B"/>
    <w:p w:rsidR="0050699B" w:rsidRPr="00D22941" w:rsidRDefault="0050699B"/>
    <w:sectPr w:rsidR="0050699B" w:rsidRPr="00D22941" w:rsidSect="005069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941"/>
    <w:rsid w:val="000424DA"/>
    <w:rsid w:val="00197D86"/>
    <w:rsid w:val="002C6E67"/>
    <w:rsid w:val="0050699B"/>
    <w:rsid w:val="007F658A"/>
    <w:rsid w:val="008851B5"/>
    <w:rsid w:val="00A15044"/>
    <w:rsid w:val="00D22941"/>
    <w:rsid w:val="00FA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4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229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294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c.europa.eu/employment_social/missoc/db/public/compareTables.d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gtmadrid112.files.wordpress.com/2011/02/pensiones-en-europ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>
        <c:manualLayout>
          <c:layoutTarget val="inner"/>
          <c:xMode val="edge"/>
          <c:yMode val="edge"/>
          <c:x val="0.22748840769903794"/>
          <c:y val="2.5966620584640665E-2"/>
          <c:w val="0.82034973753281104"/>
          <c:h val="0.8766044025518771"/>
        </c:manualLayout>
      </c:layout>
      <c:barChart>
        <c:barDir val="bar"/>
        <c:grouping val="clustered"/>
        <c:ser>
          <c:idx val="0"/>
          <c:order val="0"/>
          <c:tx>
            <c:strRef>
              <c:f>Hoja2!$B$1:$B$4</c:f>
              <c:strCache>
                <c:ptCount val="1"/>
              </c:strCache>
            </c:strRef>
          </c:tx>
          <c:spPr>
            <a:solidFill>
              <a:schemeClr val="accent5">
                <a:lumMod val="75000"/>
              </a:schemeClr>
            </a:solidFill>
            <a:ln w="25400"/>
          </c:spPr>
          <c:invertIfNegative val="1"/>
          <c:dPt>
            <c:idx val="0"/>
            <c:invertIfNegative val="1"/>
            <c:spPr>
              <a:solidFill>
                <a:srgbClr val="FF0000"/>
              </a:solidFill>
              <a:ln w="25400"/>
            </c:spPr>
          </c:dPt>
          <c:dLbls>
            <c:numFmt formatCode="#,##0.00_ ;[Red]\-#,##0.00\ " sourceLinked="0"/>
            <c:showVal val="1"/>
          </c:dLbls>
          <c:cat>
            <c:strRef>
              <c:f>Hoja2!$A$5:$A$32</c:f>
              <c:strCache>
                <c:ptCount val="28"/>
                <c:pt idx="0">
                  <c:v>Polonia</c:v>
                </c:pt>
                <c:pt idx="1">
                  <c:v>Estonia</c:v>
                </c:pt>
                <c:pt idx="2">
                  <c:v>Italia</c:v>
                </c:pt>
                <c:pt idx="3">
                  <c:v>Dinamarca</c:v>
                </c:pt>
                <c:pt idx="4">
                  <c:v>Suecia</c:v>
                </c:pt>
                <c:pt idx="5">
                  <c:v>Letonia</c:v>
                </c:pt>
                <c:pt idx="6">
                  <c:v>Francia</c:v>
                </c:pt>
                <c:pt idx="7">
                  <c:v>Austria</c:v>
                </c:pt>
                <c:pt idx="8">
                  <c:v>Portugal</c:v>
                </c:pt>
                <c:pt idx="9">
                  <c:v>Bulgaria</c:v>
                </c:pt>
                <c:pt idx="10">
                  <c:v>UE-27</c:v>
                </c:pt>
                <c:pt idx="11">
                  <c:v>Hungría</c:v>
                </c:pt>
                <c:pt idx="12">
                  <c:v>Reino Unido</c:v>
                </c:pt>
                <c:pt idx="13">
                  <c:v>Alemania</c:v>
                </c:pt>
                <c:pt idx="14">
                  <c:v>Finlandia</c:v>
                </c:pt>
                <c:pt idx="15">
                  <c:v>Eslovaquia</c:v>
                </c:pt>
                <c:pt idx="16">
                  <c:v>Republica Checa</c:v>
                </c:pt>
                <c:pt idx="17">
                  <c:v>Holanda</c:v>
                </c:pt>
                <c:pt idx="18">
                  <c:v>Bélgica</c:v>
                </c:pt>
                <c:pt idx="19">
                  <c:v>Irlanda</c:v>
                </c:pt>
                <c:pt idx="20">
                  <c:v>Lituania</c:v>
                </c:pt>
                <c:pt idx="21">
                  <c:v>Malta</c:v>
                </c:pt>
                <c:pt idx="22">
                  <c:v>España</c:v>
                </c:pt>
                <c:pt idx="23">
                  <c:v>Rumania</c:v>
                </c:pt>
                <c:pt idx="24">
                  <c:v>Eslovenia</c:v>
                </c:pt>
                <c:pt idx="25">
                  <c:v>Chipre</c:v>
                </c:pt>
                <c:pt idx="26">
                  <c:v>Grecia</c:v>
                </c:pt>
                <c:pt idx="27">
                  <c:v>Luxemburgo</c:v>
                </c:pt>
              </c:strCache>
            </c:strRef>
          </c:cat>
          <c:val>
            <c:numRef>
              <c:f>Hoja2!$B$5:$B$32</c:f>
              <c:numCache>
                <c:formatCode>General</c:formatCode>
                <c:ptCount val="28"/>
                <c:pt idx="0">
                  <c:v>-2</c:v>
                </c:pt>
                <c:pt idx="1">
                  <c:v>-1.5</c:v>
                </c:pt>
                <c:pt idx="2">
                  <c:v>-0.40000000000000036</c:v>
                </c:pt>
                <c:pt idx="3">
                  <c:v>-0.20000000000000109</c:v>
                </c:pt>
                <c:pt idx="4">
                  <c:v>-0.19999999999999993</c:v>
                </c:pt>
                <c:pt idx="5">
                  <c:v>0</c:v>
                </c:pt>
                <c:pt idx="6">
                  <c:v>0.5</c:v>
                </c:pt>
                <c:pt idx="7">
                  <c:v>0.90000000000000069</c:v>
                </c:pt>
                <c:pt idx="8">
                  <c:v>1.5</c:v>
                </c:pt>
                <c:pt idx="9">
                  <c:v>2.2000000000000011</c:v>
                </c:pt>
                <c:pt idx="10">
                  <c:v>2.3000000000000007</c:v>
                </c:pt>
                <c:pt idx="11">
                  <c:v>2.5</c:v>
                </c:pt>
                <c:pt idx="12">
                  <c:v>2.6000000000000005</c:v>
                </c:pt>
                <c:pt idx="13">
                  <c:v>2.6000000000000014</c:v>
                </c:pt>
                <c:pt idx="14">
                  <c:v>2.7000000000000011</c:v>
                </c:pt>
                <c:pt idx="15">
                  <c:v>3.5999999999999988</c:v>
                </c:pt>
                <c:pt idx="16">
                  <c:v>3.9000000000000004</c:v>
                </c:pt>
                <c:pt idx="17">
                  <c:v>4</c:v>
                </c:pt>
                <c:pt idx="18">
                  <c:v>4.3999999999999986</c:v>
                </c:pt>
                <c:pt idx="19">
                  <c:v>4.5</c:v>
                </c:pt>
                <c:pt idx="20">
                  <c:v>4.9000000000000004</c:v>
                </c:pt>
                <c:pt idx="21">
                  <c:v>5.0999999999999996</c:v>
                </c:pt>
                <c:pt idx="22">
                  <c:v>6.1999999999999975</c:v>
                </c:pt>
                <c:pt idx="23">
                  <c:v>7.4</c:v>
                </c:pt>
                <c:pt idx="24">
                  <c:v>8.5000000000000018</c:v>
                </c:pt>
                <c:pt idx="25">
                  <c:v>10.8</c:v>
                </c:pt>
                <c:pt idx="26">
                  <c:v>12.500000000000002</c:v>
                </c:pt>
                <c:pt idx="27">
                  <c:v>15.3</c:v>
                </c:pt>
              </c:numCache>
            </c:numRef>
          </c:val>
        </c:ser>
        <c:axId val="65283968"/>
        <c:axId val="65285504"/>
      </c:barChart>
      <c:catAx>
        <c:axId val="65283968"/>
        <c:scaling>
          <c:orientation val="minMax"/>
        </c:scaling>
        <c:axPos val="l"/>
        <c:tickLblPos val="low"/>
        <c:spPr>
          <a:ln w="25400">
            <a:solidFill>
              <a:schemeClr val="tx1"/>
            </a:solidFill>
          </a:ln>
        </c:spPr>
        <c:crossAx val="65285504"/>
        <c:crosses val="autoZero"/>
        <c:auto val="1"/>
        <c:lblAlgn val="ctr"/>
        <c:lblOffset val="100"/>
      </c:catAx>
      <c:valAx>
        <c:axId val="65285504"/>
        <c:scaling>
          <c:orientation val="minMax"/>
          <c:max val="16"/>
          <c:min val="-5"/>
        </c:scaling>
        <c:axPos val="b"/>
        <c:majorGridlines>
          <c:spPr>
            <a:ln>
              <a:prstDash val="sysDash"/>
            </a:ln>
          </c:spPr>
        </c:majorGridlines>
        <c:numFmt formatCode="General" sourceLinked="1"/>
        <c:tickLblPos val="nextTo"/>
        <c:spPr>
          <a:ln w="25400">
            <a:solidFill>
              <a:schemeClr val="tx1"/>
            </a:solidFill>
          </a:ln>
        </c:spPr>
        <c:crossAx val="652839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0"/>
          <c:order val="0"/>
          <c:tx>
            <c:v>UE-27</c:v>
          </c:tx>
          <c:marker>
            <c:symbol val="square"/>
            <c:size val="5"/>
          </c:marker>
          <c:cat>
            <c:strRef>
              <c:f>Hoja1!$W$3:$AG$3</c:f>
              <c:strCache>
                <c:ptCount val="11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2025</c:v>
                </c:pt>
                <c:pt idx="4">
                  <c:v>2030</c:v>
                </c:pt>
                <c:pt idx="5">
                  <c:v>2035</c:v>
                </c:pt>
                <c:pt idx="6">
                  <c:v>2040</c:v>
                </c:pt>
                <c:pt idx="7">
                  <c:v>2045</c:v>
                </c:pt>
                <c:pt idx="8">
                  <c:v>2050</c:v>
                </c:pt>
                <c:pt idx="9">
                  <c:v>2055</c:v>
                </c:pt>
                <c:pt idx="10">
                  <c:v>2060</c:v>
                </c:pt>
              </c:strCache>
            </c:strRef>
          </c:cat>
          <c:val>
            <c:numRef>
              <c:f>Hoja1!$W$4:$AG$4</c:f>
              <c:numCache>
                <c:formatCode>0.0</c:formatCode>
                <c:ptCount val="11"/>
                <c:pt idx="0">
                  <c:v>25.919999999999987</c:v>
                </c:pt>
                <c:pt idx="1">
                  <c:v>28.479999999999986</c:v>
                </c:pt>
                <c:pt idx="2">
                  <c:v>31.37</c:v>
                </c:pt>
                <c:pt idx="3">
                  <c:v>34.57</c:v>
                </c:pt>
                <c:pt idx="4">
                  <c:v>38.33</c:v>
                </c:pt>
                <c:pt idx="5">
                  <c:v>42.309999999999995</c:v>
                </c:pt>
                <c:pt idx="6">
                  <c:v>45.52</c:v>
                </c:pt>
                <c:pt idx="7">
                  <c:v>48</c:v>
                </c:pt>
                <c:pt idx="8">
                  <c:v>50.160000000000011</c:v>
                </c:pt>
                <c:pt idx="9">
                  <c:v>51.82</c:v>
                </c:pt>
                <c:pt idx="10">
                  <c:v>52.55</c:v>
                </c:pt>
              </c:numCache>
            </c:numRef>
          </c:val>
        </c:ser>
        <c:ser>
          <c:idx val="1"/>
          <c:order val="1"/>
          <c:tx>
            <c:v>España</c:v>
          </c:tx>
          <c:marker>
            <c:symbol val="none"/>
          </c:marker>
          <c:val>
            <c:numRef>
              <c:f>Hoja1!$W$14:$AG$14</c:f>
              <c:numCache>
                <c:formatCode>0.0</c:formatCode>
                <c:ptCount val="11"/>
                <c:pt idx="0">
                  <c:v>24.69</c:v>
                </c:pt>
                <c:pt idx="1">
                  <c:v>27.04</c:v>
                </c:pt>
                <c:pt idx="2">
                  <c:v>28.939999999999987</c:v>
                </c:pt>
                <c:pt idx="3">
                  <c:v>31.57</c:v>
                </c:pt>
                <c:pt idx="4">
                  <c:v>35.520000000000003</c:v>
                </c:pt>
                <c:pt idx="5">
                  <c:v>40.6</c:v>
                </c:pt>
                <c:pt idx="6">
                  <c:v>46.7</c:v>
                </c:pt>
                <c:pt idx="7">
                  <c:v>53.260000000000012</c:v>
                </c:pt>
                <c:pt idx="8">
                  <c:v>56.91</c:v>
                </c:pt>
                <c:pt idx="9">
                  <c:v>57.25</c:v>
                </c:pt>
                <c:pt idx="10">
                  <c:v>56.37</c:v>
                </c:pt>
              </c:numCache>
            </c:numRef>
          </c:val>
        </c:ser>
        <c:ser>
          <c:idx val="2"/>
          <c:order val="2"/>
          <c:tx>
            <c:v>Francia</c:v>
          </c:tx>
          <c:marker>
            <c:symbol val="none"/>
          </c:marker>
          <c:val>
            <c:numRef>
              <c:f>Hoja1!$W$15:$AG$15</c:f>
              <c:numCache>
                <c:formatCode>0.0</c:formatCode>
                <c:ptCount val="11"/>
                <c:pt idx="0">
                  <c:v>25.66</c:v>
                </c:pt>
                <c:pt idx="1">
                  <c:v>29.22</c:v>
                </c:pt>
                <c:pt idx="2">
                  <c:v>32.71</c:v>
                </c:pt>
                <c:pt idx="3">
                  <c:v>35.809999999999995</c:v>
                </c:pt>
                <c:pt idx="4">
                  <c:v>39.06</c:v>
                </c:pt>
                <c:pt idx="5">
                  <c:v>41.949999999999996</c:v>
                </c:pt>
                <c:pt idx="6">
                  <c:v>44.37</c:v>
                </c:pt>
                <c:pt idx="7">
                  <c:v>44.77</c:v>
                </c:pt>
                <c:pt idx="8">
                  <c:v>45.48</c:v>
                </c:pt>
                <c:pt idx="9">
                  <c:v>46.339999999999996</c:v>
                </c:pt>
                <c:pt idx="10">
                  <c:v>46.58</c:v>
                </c:pt>
              </c:numCache>
            </c:numRef>
          </c:val>
        </c:ser>
        <c:ser>
          <c:idx val="3"/>
          <c:order val="3"/>
          <c:tx>
            <c:v>Alemania</c:v>
          </c:tx>
          <c:marker>
            <c:symbol val="none"/>
          </c:marker>
          <c:val>
            <c:numRef>
              <c:f>Hoja1!$W$10:$AG$10</c:f>
              <c:numCache>
                <c:formatCode>0.0</c:formatCode>
                <c:ptCount val="11"/>
                <c:pt idx="0">
                  <c:v>31.259999999999987</c:v>
                </c:pt>
                <c:pt idx="1">
                  <c:v>32.520000000000003</c:v>
                </c:pt>
                <c:pt idx="2">
                  <c:v>35.78</c:v>
                </c:pt>
                <c:pt idx="3">
                  <c:v>40.220000000000013</c:v>
                </c:pt>
                <c:pt idx="4">
                  <c:v>47.21</c:v>
                </c:pt>
                <c:pt idx="5">
                  <c:v>54.2</c:v>
                </c:pt>
                <c:pt idx="6">
                  <c:v>56.44</c:v>
                </c:pt>
                <c:pt idx="7">
                  <c:v>56.92</c:v>
                </c:pt>
                <c:pt idx="8">
                  <c:v>58.11</c:v>
                </c:pt>
                <c:pt idx="9">
                  <c:v>59.57</c:v>
                </c:pt>
                <c:pt idx="10">
                  <c:v>59.89</c:v>
                </c:pt>
              </c:numCache>
            </c:numRef>
          </c:val>
        </c:ser>
        <c:ser>
          <c:idx val="4"/>
          <c:order val="4"/>
          <c:tx>
            <c:v>Suecia</c:v>
          </c:tx>
          <c:marker>
            <c:symbol val="none"/>
          </c:marker>
          <c:val>
            <c:numRef>
              <c:f>Hoja1!$W$31:$AG$31</c:f>
              <c:numCache>
                <c:formatCode>0.0</c:formatCode>
                <c:ptCount val="11"/>
                <c:pt idx="0">
                  <c:v>27.72</c:v>
                </c:pt>
                <c:pt idx="1">
                  <c:v>31.279999999999987</c:v>
                </c:pt>
                <c:pt idx="2">
                  <c:v>33.47</c:v>
                </c:pt>
                <c:pt idx="3">
                  <c:v>35.300000000000004</c:v>
                </c:pt>
                <c:pt idx="4">
                  <c:v>37.21</c:v>
                </c:pt>
                <c:pt idx="5">
                  <c:v>39.270000000000003</c:v>
                </c:pt>
                <c:pt idx="6">
                  <c:v>40.449999999999996</c:v>
                </c:pt>
                <c:pt idx="7">
                  <c:v>40.849999999999994</c:v>
                </c:pt>
                <c:pt idx="8">
                  <c:v>41.7</c:v>
                </c:pt>
                <c:pt idx="9">
                  <c:v>43.71</c:v>
                </c:pt>
                <c:pt idx="10">
                  <c:v>46.21</c:v>
                </c:pt>
              </c:numCache>
            </c:numRef>
          </c:val>
        </c:ser>
        <c:ser>
          <c:idx val="5"/>
          <c:order val="5"/>
          <c:tx>
            <c:v>Italia</c:v>
          </c:tx>
          <c:marker>
            <c:symbol val="none"/>
          </c:marker>
          <c:val>
            <c:numRef>
              <c:f>Hoja1!$W$16:$AG$16</c:f>
              <c:numCache>
                <c:formatCode>0.0</c:formatCode>
                <c:ptCount val="11"/>
                <c:pt idx="0">
                  <c:v>30.779999999999987</c:v>
                </c:pt>
                <c:pt idx="1">
                  <c:v>33.130000000000003</c:v>
                </c:pt>
                <c:pt idx="2">
                  <c:v>34.760000000000012</c:v>
                </c:pt>
                <c:pt idx="3">
                  <c:v>37.020000000000003</c:v>
                </c:pt>
                <c:pt idx="4">
                  <c:v>41.14</c:v>
                </c:pt>
                <c:pt idx="5">
                  <c:v>46.5</c:v>
                </c:pt>
                <c:pt idx="6">
                  <c:v>51.730000000000011</c:v>
                </c:pt>
                <c:pt idx="7">
                  <c:v>55.13</c:v>
                </c:pt>
                <c:pt idx="8">
                  <c:v>56.339999999999996</c:v>
                </c:pt>
                <c:pt idx="9">
                  <c:v>56.58</c:v>
                </c:pt>
                <c:pt idx="10">
                  <c:v>56.65</c:v>
                </c:pt>
              </c:numCache>
            </c:numRef>
          </c:val>
        </c:ser>
        <c:marker val="1"/>
        <c:axId val="141589504"/>
        <c:axId val="58057472"/>
      </c:lineChart>
      <c:catAx>
        <c:axId val="141589504"/>
        <c:scaling>
          <c:orientation val="minMax"/>
        </c:scaling>
        <c:axPos val="b"/>
        <c:tickLblPos val="nextTo"/>
        <c:spPr>
          <a:ln w="25400">
            <a:solidFill>
              <a:schemeClr val="tx1"/>
            </a:solidFill>
          </a:ln>
        </c:spPr>
        <c:crossAx val="58057472"/>
        <c:crosses val="autoZero"/>
        <c:auto val="1"/>
        <c:lblAlgn val="ctr"/>
        <c:lblOffset val="100"/>
      </c:catAx>
      <c:valAx>
        <c:axId val="58057472"/>
        <c:scaling>
          <c:orientation val="minMax"/>
          <c:min val="24"/>
        </c:scaling>
        <c:axPos val="l"/>
        <c:majorGridlines>
          <c:spPr>
            <a:ln>
              <a:prstDash val="dash"/>
            </a:ln>
          </c:spPr>
        </c:majorGridlines>
        <c:numFmt formatCode="0.0" sourceLinked="1"/>
        <c:tickLblPos val="nextTo"/>
        <c:spPr>
          <a:ln w="25400">
            <a:solidFill>
              <a:schemeClr val="tx1"/>
            </a:solidFill>
          </a:ln>
        </c:spPr>
        <c:crossAx val="141589504"/>
        <c:crosses val="autoZero"/>
        <c:crossBetween val="between"/>
      </c:valAx>
    </c:plotArea>
    <c:legend>
      <c:legendPos val="r"/>
      <c:layout/>
    </c:legend>
    <c:plotVisOnly val="1"/>
  </c:chart>
  <c:spPr>
    <a:ln w="0"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13F2-228C-42CC-91C1-66B3778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1531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Pontificia Comillas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PC-WINXPSP3</dc:creator>
  <cp:keywords/>
  <dc:description/>
  <cp:lastModifiedBy>PC-WINXPSP3</cp:lastModifiedBy>
  <cp:revision>2</cp:revision>
  <dcterms:created xsi:type="dcterms:W3CDTF">2011-06-30T11:36:00Z</dcterms:created>
  <dcterms:modified xsi:type="dcterms:W3CDTF">2011-06-30T11:36:00Z</dcterms:modified>
</cp:coreProperties>
</file>