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27EBB" w14:textId="77777777" w:rsidR="00ED63C7" w:rsidRPr="00ED63C7" w:rsidRDefault="00ED63C7" w:rsidP="00ED63C7">
      <w:pPr>
        <w:rPr>
          <w:color w:val="0033CC"/>
        </w:rPr>
      </w:pPr>
    </w:p>
    <w:p w14:paraId="011A5E8F" w14:textId="54408ED6" w:rsidR="00ED63C7" w:rsidRPr="00404893" w:rsidRDefault="00ED63C7" w:rsidP="00855BDD">
      <w:pPr>
        <w:pStyle w:val="Ttulo1"/>
        <w:rPr>
          <w:rFonts w:ascii="Times New Roman" w:hAnsi="Times New Roman" w:cs="Times New Roman"/>
          <w:sz w:val="28"/>
          <w:szCs w:val="28"/>
          <w:lang w:val="es-ES_tradnl"/>
        </w:rPr>
      </w:pPr>
      <w:r w:rsidRPr="00404893">
        <w:rPr>
          <w:rFonts w:ascii="Times New Roman" w:hAnsi="Times New Roman" w:cs="Times New Roman"/>
          <w:sz w:val="28"/>
          <w:szCs w:val="28"/>
          <w:lang w:val="es-ES_tradnl"/>
        </w:rPr>
        <w:t>LA GU</w:t>
      </w:r>
      <w:r w:rsidR="00DA78C1">
        <w:rPr>
          <w:rFonts w:ascii="Times New Roman" w:hAnsi="Times New Roman" w:cs="Times New Roman"/>
          <w:sz w:val="28"/>
          <w:szCs w:val="28"/>
          <w:lang w:val="es-ES_tradnl"/>
        </w:rPr>
        <w:t>Í</w:t>
      </w:r>
      <w:r w:rsidRPr="00404893">
        <w:rPr>
          <w:rFonts w:ascii="Times New Roman" w:hAnsi="Times New Roman" w:cs="Times New Roman"/>
          <w:sz w:val="28"/>
          <w:szCs w:val="28"/>
          <w:lang w:val="es-ES_tradnl"/>
        </w:rPr>
        <w:t>A DOCENTE EN LA PLANIFICACIÓN Y desarrollo DE LA ENSEÑANZA UNIVERSITARIA</w:t>
      </w:r>
      <w:r w:rsidR="008B2C3F">
        <w:rPr>
          <w:rStyle w:val="Refdenotaalpie"/>
          <w:rFonts w:ascii="Times New Roman" w:hAnsi="Times New Roman" w:cs="Times New Roman"/>
          <w:sz w:val="28"/>
          <w:szCs w:val="28"/>
          <w:lang w:val="es-ES_tradnl"/>
        </w:rPr>
        <w:footnoteReference w:id="1"/>
      </w:r>
    </w:p>
    <w:p w14:paraId="0E2D3D98" w14:textId="77777777" w:rsidR="00ED63C7" w:rsidRPr="0060614D" w:rsidRDefault="00ED63C7" w:rsidP="00ED63C7"/>
    <w:p w14:paraId="313AD17B" w14:textId="77777777" w:rsidR="00842BF2" w:rsidRPr="00842BF2" w:rsidRDefault="00842BF2" w:rsidP="0060614D">
      <w:pPr>
        <w:pStyle w:val="Resumen"/>
        <w:ind w:left="0" w:right="-1"/>
        <w:rPr>
          <w:rFonts w:ascii="Times New Roman" w:hAnsi="Times New Roman"/>
          <w:b/>
          <w:i w:val="0"/>
          <w:sz w:val="20"/>
          <w:szCs w:val="20"/>
          <w:lang w:val="es-ES"/>
        </w:rPr>
      </w:pPr>
    </w:p>
    <w:p w14:paraId="38831EBF" w14:textId="77777777" w:rsidR="00842BF2" w:rsidRDefault="00842BF2" w:rsidP="0060614D">
      <w:pPr>
        <w:pStyle w:val="Resumen"/>
        <w:ind w:left="0" w:right="-1"/>
        <w:rPr>
          <w:rFonts w:ascii="Times New Roman" w:hAnsi="Times New Roman"/>
          <w:b/>
          <w:i w:val="0"/>
          <w:sz w:val="20"/>
          <w:szCs w:val="20"/>
          <w:lang w:val="es-ES_tradnl"/>
        </w:rPr>
      </w:pPr>
    </w:p>
    <w:p w14:paraId="4805F84D" w14:textId="197BA304" w:rsidR="008900F6" w:rsidRDefault="00FB1C2D" w:rsidP="0060614D">
      <w:pPr>
        <w:pStyle w:val="Resumen"/>
        <w:ind w:left="0" w:right="-1"/>
        <w:rPr>
          <w:rFonts w:ascii="Times New Roman" w:hAnsi="Times New Roman"/>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p>
    <w:p w14:paraId="4297A5AE" w14:textId="2503596D" w:rsidR="00DA4C12" w:rsidRDefault="00DA4C12" w:rsidP="00855BDD">
      <w:pPr>
        <w:ind w:firstLine="0"/>
        <w:rPr>
          <w:rFonts w:ascii="Times New Roman" w:hAnsi="Times New Roman"/>
          <w:sz w:val="20"/>
          <w:szCs w:val="20"/>
          <w:lang w:val="es-ES_tradnl"/>
        </w:rPr>
      </w:pPr>
    </w:p>
    <w:p w14:paraId="6A759E1C" w14:textId="74BC41A9" w:rsidR="0090758E" w:rsidRDefault="00ED63C7" w:rsidP="00855BDD">
      <w:pPr>
        <w:ind w:firstLine="0"/>
        <w:rPr>
          <w:rFonts w:ascii="Times New Roman" w:hAnsi="Times New Roman"/>
          <w:sz w:val="20"/>
          <w:szCs w:val="20"/>
          <w:lang w:val="es-ES_tradnl"/>
        </w:rPr>
      </w:pPr>
      <w:r>
        <w:rPr>
          <w:rFonts w:ascii="Times New Roman" w:hAnsi="Times New Roman"/>
          <w:sz w:val="20"/>
          <w:szCs w:val="20"/>
          <w:lang w:val="es-ES_tradnl"/>
        </w:rPr>
        <w:t>El proceso intencional que se</w:t>
      </w:r>
      <w:r w:rsidR="005808C1">
        <w:rPr>
          <w:rFonts w:ascii="Times New Roman" w:hAnsi="Times New Roman"/>
          <w:sz w:val="20"/>
          <w:szCs w:val="20"/>
          <w:lang w:val="es-ES_tradnl"/>
        </w:rPr>
        <w:t xml:space="preserve"> viene desarrollando en los últimos tiempos</w:t>
      </w:r>
      <w:r>
        <w:rPr>
          <w:rFonts w:ascii="Times New Roman" w:hAnsi="Times New Roman"/>
          <w:sz w:val="20"/>
          <w:szCs w:val="20"/>
          <w:lang w:val="es-ES_tradnl"/>
        </w:rPr>
        <w:t xml:space="preserve"> en la enseñanza universitaria cuenta con un referente fundamental, la guía docente, </w:t>
      </w:r>
      <w:r w:rsidR="005808C1">
        <w:rPr>
          <w:rFonts w:ascii="Times New Roman" w:hAnsi="Times New Roman"/>
          <w:sz w:val="20"/>
          <w:szCs w:val="20"/>
          <w:lang w:val="es-ES_tradnl"/>
        </w:rPr>
        <w:t xml:space="preserve">que debe estar en sintonía con los principios que </w:t>
      </w:r>
      <w:r w:rsidR="0060614D">
        <w:rPr>
          <w:rFonts w:ascii="Times New Roman" w:hAnsi="Times New Roman"/>
          <w:sz w:val="20"/>
          <w:szCs w:val="20"/>
          <w:lang w:val="es-ES_tradnl"/>
        </w:rPr>
        <w:t>orientan</w:t>
      </w:r>
      <w:r w:rsidR="005808C1">
        <w:rPr>
          <w:rFonts w:ascii="Times New Roman" w:hAnsi="Times New Roman"/>
          <w:sz w:val="20"/>
          <w:szCs w:val="20"/>
          <w:lang w:val="es-ES_tradnl"/>
        </w:rPr>
        <w:t xml:space="preserve"> el proceso de convergencia europea y </w:t>
      </w:r>
      <w:r w:rsidR="00404893">
        <w:rPr>
          <w:rFonts w:ascii="Times New Roman" w:hAnsi="Times New Roman"/>
          <w:sz w:val="20"/>
          <w:szCs w:val="20"/>
          <w:lang w:val="es-ES_tradnl"/>
        </w:rPr>
        <w:t>recoger</w:t>
      </w:r>
      <w:r w:rsidR="004A2C5B">
        <w:rPr>
          <w:rFonts w:ascii="Times New Roman" w:hAnsi="Times New Roman"/>
          <w:sz w:val="20"/>
          <w:szCs w:val="20"/>
          <w:lang w:val="es-ES_tradnl"/>
        </w:rPr>
        <w:t xml:space="preserve"> la planificación </w:t>
      </w:r>
      <w:r w:rsidR="005808C1">
        <w:rPr>
          <w:rFonts w:ascii="Times New Roman" w:hAnsi="Times New Roman"/>
          <w:sz w:val="20"/>
          <w:szCs w:val="20"/>
          <w:lang w:val="es-ES_tradnl"/>
        </w:rPr>
        <w:t xml:space="preserve">de la enseñanza </w:t>
      </w:r>
      <w:r w:rsidR="004A2C5B">
        <w:rPr>
          <w:rFonts w:ascii="Times New Roman" w:hAnsi="Times New Roman"/>
          <w:sz w:val="20"/>
          <w:szCs w:val="20"/>
          <w:lang w:val="es-ES_tradnl"/>
        </w:rPr>
        <w:t>que realiza el profesorado</w:t>
      </w:r>
      <w:r w:rsidR="005808C1">
        <w:rPr>
          <w:rFonts w:ascii="Times New Roman" w:hAnsi="Times New Roman"/>
          <w:sz w:val="20"/>
          <w:szCs w:val="20"/>
          <w:lang w:val="es-ES_tradnl"/>
        </w:rPr>
        <w:t xml:space="preserve"> para</w:t>
      </w:r>
      <w:r w:rsidR="00404893">
        <w:rPr>
          <w:rFonts w:ascii="Times New Roman" w:hAnsi="Times New Roman"/>
          <w:sz w:val="20"/>
          <w:szCs w:val="20"/>
          <w:lang w:val="es-ES_tradnl"/>
        </w:rPr>
        <w:t xml:space="preserve"> gestionar </w:t>
      </w:r>
      <w:r w:rsidR="005808C1">
        <w:rPr>
          <w:rFonts w:ascii="Times New Roman" w:hAnsi="Times New Roman"/>
          <w:sz w:val="20"/>
          <w:szCs w:val="20"/>
          <w:lang w:val="es-ES_tradnl"/>
        </w:rPr>
        <w:t>el aprendizaje del alumnado. Por</w:t>
      </w:r>
      <w:r w:rsidR="004A2C5B">
        <w:rPr>
          <w:rFonts w:ascii="Times New Roman" w:hAnsi="Times New Roman"/>
          <w:sz w:val="20"/>
          <w:szCs w:val="20"/>
          <w:lang w:val="es-ES_tradnl"/>
        </w:rPr>
        <w:t xml:space="preserve"> eso, la planificación docente constituye un </w:t>
      </w:r>
      <w:r w:rsidR="00404893">
        <w:rPr>
          <w:rFonts w:ascii="Times New Roman" w:hAnsi="Times New Roman"/>
          <w:sz w:val="20"/>
          <w:szCs w:val="20"/>
          <w:lang w:val="es-ES_tradnl"/>
        </w:rPr>
        <w:t>elemento</w:t>
      </w:r>
      <w:r w:rsidR="004A2C5B">
        <w:rPr>
          <w:rFonts w:ascii="Times New Roman" w:hAnsi="Times New Roman"/>
          <w:sz w:val="20"/>
          <w:szCs w:val="20"/>
          <w:lang w:val="es-ES_tradnl"/>
        </w:rPr>
        <w:t xml:space="preserve"> de calidad, dado que </w:t>
      </w:r>
      <w:r w:rsidR="00404893">
        <w:rPr>
          <w:rFonts w:ascii="Times New Roman" w:hAnsi="Times New Roman"/>
          <w:sz w:val="20"/>
          <w:szCs w:val="20"/>
          <w:lang w:val="es-ES_tradnl"/>
        </w:rPr>
        <w:t xml:space="preserve">para lograr </w:t>
      </w:r>
      <w:r w:rsidR="004A2C5B">
        <w:rPr>
          <w:rFonts w:ascii="Times New Roman" w:hAnsi="Times New Roman"/>
          <w:sz w:val="20"/>
          <w:szCs w:val="20"/>
          <w:lang w:val="es-ES_tradnl"/>
        </w:rPr>
        <w:t xml:space="preserve">un buen aprendizaje en el alumnado </w:t>
      </w:r>
      <w:r w:rsidR="00404893">
        <w:rPr>
          <w:rFonts w:ascii="Times New Roman" w:hAnsi="Times New Roman"/>
          <w:sz w:val="20"/>
          <w:szCs w:val="20"/>
          <w:lang w:val="es-ES_tradnl"/>
        </w:rPr>
        <w:t xml:space="preserve">se requiere </w:t>
      </w:r>
      <w:r w:rsidR="004A2C5B">
        <w:rPr>
          <w:rFonts w:ascii="Times New Roman" w:hAnsi="Times New Roman"/>
          <w:sz w:val="20"/>
          <w:szCs w:val="20"/>
          <w:lang w:val="es-ES_tradnl"/>
        </w:rPr>
        <w:t xml:space="preserve">una buena guía del trabajo que tiene que desarrollar en cada </w:t>
      </w:r>
      <w:r w:rsidR="0060614D">
        <w:rPr>
          <w:rFonts w:ascii="Times New Roman" w:hAnsi="Times New Roman"/>
          <w:sz w:val="20"/>
          <w:szCs w:val="20"/>
          <w:lang w:val="es-ES_tradnl"/>
        </w:rPr>
        <w:t>materia</w:t>
      </w:r>
      <w:r w:rsidR="004A2C5B">
        <w:rPr>
          <w:rFonts w:ascii="Times New Roman" w:hAnsi="Times New Roman"/>
          <w:sz w:val="20"/>
          <w:szCs w:val="20"/>
          <w:lang w:val="es-ES_tradnl"/>
        </w:rPr>
        <w:t xml:space="preserve">. </w:t>
      </w:r>
      <w:r w:rsidR="00D57F06">
        <w:rPr>
          <w:rFonts w:ascii="Times New Roman" w:hAnsi="Times New Roman"/>
          <w:sz w:val="20"/>
          <w:szCs w:val="20"/>
          <w:lang w:val="es-ES_tradnl"/>
        </w:rPr>
        <w:t xml:space="preserve">Sobre la base de este planteamiento, se llevó a cabo un estudio de corte cualitativo, basado en entrevistas al profesorado y </w:t>
      </w:r>
      <w:r w:rsidR="00D57F06" w:rsidRPr="00A539B8">
        <w:rPr>
          <w:rFonts w:ascii="Times New Roman" w:hAnsi="Times New Roman"/>
          <w:i/>
          <w:sz w:val="20"/>
          <w:szCs w:val="20"/>
          <w:lang w:val="es-ES_tradnl"/>
        </w:rPr>
        <w:t>focus group</w:t>
      </w:r>
      <w:r w:rsidR="00D57F06">
        <w:rPr>
          <w:rFonts w:ascii="Times New Roman" w:hAnsi="Times New Roman"/>
          <w:sz w:val="20"/>
          <w:szCs w:val="20"/>
          <w:lang w:val="es-ES_tradnl"/>
        </w:rPr>
        <w:t xml:space="preserve"> con </w:t>
      </w:r>
      <w:r w:rsidR="00404893">
        <w:rPr>
          <w:rFonts w:ascii="Times New Roman" w:hAnsi="Times New Roman"/>
          <w:sz w:val="20"/>
          <w:szCs w:val="20"/>
          <w:lang w:val="es-ES_tradnl"/>
        </w:rPr>
        <w:t>informantes claves</w:t>
      </w:r>
      <w:r w:rsidR="00D57F06">
        <w:rPr>
          <w:rFonts w:ascii="Times New Roman" w:hAnsi="Times New Roman"/>
          <w:sz w:val="20"/>
          <w:szCs w:val="20"/>
          <w:lang w:val="es-ES_tradnl"/>
        </w:rPr>
        <w:t xml:space="preserve"> vinculados a la enseñanza universitaria, con </w:t>
      </w:r>
      <w:r w:rsidR="00404893">
        <w:rPr>
          <w:rFonts w:ascii="Times New Roman" w:hAnsi="Times New Roman"/>
          <w:sz w:val="20"/>
          <w:szCs w:val="20"/>
          <w:lang w:val="es-ES_tradnl"/>
        </w:rPr>
        <w:t xml:space="preserve">el objetivo </w:t>
      </w:r>
      <w:r w:rsidR="00D57F06">
        <w:rPr>
          <w:rFonts w:ascii="Times New Roman" w:hAnsi="Times New Roman"/>
          <w:sz w:val="20"/>
          <w:szCs w:val="20"/>
          <w:lang w:val="es-ES_tradnl"/>
        </w:rPr>
        <w:t xml:space="preserve">de valorar la utilidad de la guía docente como recurso didáctico. Los resultados pusieron de manifiesto </w:t>
      </w:r>
      <w:r w:rsidR="0090758E">
        <w:rPr>
          <w:rFonts w:ascii="Times New Roman" w:hAnsi="Times New Roman"/>
          <w:sz w:val="20"/>
          <w:szCs w:val="20"/>
          <w:lang w:val="es-ES_tradnl"/>
        </w:rPr>
        <w:t>que la guía docente es un instrumento básico en el modelo actual de la enseñanza universitaria. Sin embargo, tiene una función más administrativa que didáctica, ya que es un recurso que se utiliza</w:t>
      </w:r>
      <w:r w:rsidR="00C34302">
        <w:rPr>
          <w:rFonts w:ascii="Times New Roman" w:hAnsi="Times New Roman"/>
          <w:sz w:val="20"/>
          <w:szCs w:val="20"/>
          <w:lang w:val="es-ES_tradnl"/>
        </w:rPr>
        <w:t xml:space="preserve"> para</w:t>
      </w:r>
      <w:r w:rsidR="005808C1">
        <w:rPr>
          <w:rFonts w:ascii="Times New Roman" w:hAnsi="Times New Roman"/>
          <w:sz w:val="20"/>
          <w:szCs w:val="20"/>
          <w:lang w:val="es-ES_tradnl"/>
        </w:rPr>
        <w:t xml:space="preserve"> los procesos de acreditación de titulaciones y para</w:t>
      </w:r>
      <w:r w:rsidR="009E647E">
        <w:rPr>
          <w:rFonts w:ascii="Times New Roman" w:hAnsi="Times New Roman"/>
          <w:sz w:val="20"/>
          <w:szCs w:val="20"/>
          <w:lang w:val="es-ES_tradnl"/>
        </w:rPr>
        <w:t xml:space="preserve"> informar al alumnado al inicio del curso</w:t>
      </w:r>
      <w:r w:rsidR="00C34302">
        <w:rPr>
          <w:rFonts w:ascii="Times New Roman" w:hAnsi="Times New Roman"/>
          <w:sz w:val="20"/>
          <w:szCs w:val="20"/>
          <w:lang w:val="es-ES_tradnl"/>
        </w:rPr>
        <w:t xml:space="preserve"> de los aspectos claves de las asignaturas</w:t>
      </w:r>
      <w:r w:rsidR="0090758E">
        <w:rPr>
          <w:rFonts w:ascii="Times New Roman" w:hAnsi="Times New Roman"/>
          <w:sz w:val="20"/>
          <w:szCs w:val="20"/>
          <w:lang w:val="es-ES_tradnl"/>
        </w:rPr>
        <w:t xml:space="preserve">, pero no se integra en la </w:t>
      </w:r>
      <w:r w:rsidR="00C34302">
        <w:rPr>
          <w:rFonts w:ascii="Times New Roman" w:hAnsi="Times New Roman"/>
          <w:sz w:val="20"/>
          <w:szCs w:val="20"/>
          <w:lang w:val="es-ES_tradnl"/>
        </w:rPr>
        <w:t>dinámica</w:t>
      </w:r>
      <w:r w:rsidR="0090758E">
        <w:rPr>
          <w:rFonts w:ascii="Times New Roman" w:hAnsi="Times New Roman"/>
          <w:sz w:val="20"/>
          <w:szCs w:val="20"/>
          <w:lang w:val="es-ES_tradnl"/>
        </w:rPr>
        <w:t xml:space="preserve"> diaria de</w:t>
      </w:r>
      <w:r w:rsidR="009E647E">
        <w:rPr>
          <w:rFonts w:ascii="Times New Roman" w:hAnsi="Times New Roman"/>
          <w:sz w:val="20"/>
          <w:szCs w:val="20"/>
          <w:lang w:val="es-ES_tradnl"/>
        </w:rPr>
        <w:t>l proceso formativo</w:t>
      </w:r>
      <w:r w:rsidR="00077BAD">
        <w:rPr>
          <w:rFonts w:ascii="Times New Roman" w:hAnsi="Times New Roman"/>
          <w:sz w:val="20"/>
          <w:szCs w:val="20"/>
          <w:lang w:val="es-ES_tradnl"/>
        </w:rPr>
        <w:t xml:space="preserve"> como una guía del aprendizaje</w:t>
      </w:r>
      <w:r w:rsidR="0090758E">
        <w:rPr>
          <w:rFonts w:ascii="Times New Roman" w:hAnsi="Times New Roman"/>
          <w:sz w:val="20"/>
          <w:szCs w:val="20"/>
          <w:lang w:val="es-ES_tradnl"/>
        </w:rPr>
        <w:t>.</w:t>
      </w:r>
      <w:r w:rsidR="009E647E">
        <w:rPr>
          <w:rFonts w:ascii="Times New Roman" w:hAnsi="Times New Roman"/>
          <w:sz w:val="20"/>
          <w:szCs w:val="20"/>
          <w:lang w:val="es-ES_tradnl"/>
        </w:rPr>
        <w:t xml:space="preserve"> </w:t>
      </w:r>
    </w:p>
    <w:p w14:paraId="2E09B226" w14:textId="77777777" w:rsidR="00D57F06" w:rsidRDefault="00D57F06" w:rsidP="00855BDD">
      <w:pPr>
        <w:ind w:firstLine="0"/>
        <w:rPr>
          <w:rFonts w:ascii="Times New Roman" w:hAnsi="Times New Roman"/>
          <w:sz w:val="20"/>
          <w:szCs w:val="20"/>
          <w:lang w:val="es-ES_tradnl"/>
        </w:rPr>
      </w:pPr>
    </w:p>
    <w:p w14:paraId="6981ED55" w14:textId="3357C3DA" w:rsidR="004A2C5B" w:rsidRDefault="009E647E" w:rsidP="00855BDD">
      <w:pPr>
        <w:ind w:firstLine="0"/>
        <w:rPr>
          <w:rFonts w:ascii="Times New Roman" w:hAnsi="Times New Roman"/>
          <w:sz w:val="20"/>
          <w:szCs w:val="20"/>
          <w:lang w:val="es-ES_tradnl"/>
        </w:rPr>
      </w:pPr>
      <w:r w:rsidRPr="009E647E">
        <w:rPr>
          <w:rFonts w:ascii="Times New Roman" w:hAnsi="Times New Roman"/>
          <w:b/>
          <w:sz w:val="20"/>
          <w:szCs w:val="20"/>
          <w:lang w:val="es-ES_tradnl"/>
        </w:rPr>
        <w:t xml:space="preserve">Palabras clave: </w:t>
      </w:r>
      <w:r w:rsidR="004A2C5B">
        <w:rPr>
          <w:rFonts w:ascii="Times New Roman" w:hAnsi="Times New Roman"/>
          <w:sz w:val="20"/>
          <w:szCs w:val="20"/>
          <w:lang w:val="es-ES_tradnl"/>
        </w:rPr>
        <w:t xml:space="preserve">Guía docente; planificación de la enseñanza; </w:t>
      </w:r>
      <w:r w:rsidR="005808C1">
        <w:rPr>
          <w:rFonts w:ascii="Times New Roman" w:hAnsi="Times New Roman"/>
          <w:sz w:val="20"/>
          <w:szCs w:val="20"/>
          <w:lang w:val="es-ES_tradnl"/>
        </w:rPr>
        <w:t>gestión del aprendizaje; modelo formativo.</w:t>
      </w:r>
    </w:p>
    <w:p w14:paraId="6730ACE7" w14:textId="77777777" w:rsidR="00906A92" w:rsidRDefault="00906A92" w:rsidP="00855BDD">
      <w:pPr>
        <w:ind w:firstLine="0"/>
        <w:rPr>
          <w:rFonts w:ascii="Times New Roman" w:hAnsi="Times New Roman"/>
          <w:sz w:val="20"/>
          <w:szCs w:val="20"/>
          <w:lang w:val="es-ES_tradnl"/>
        </w:rPr>
      </w:pPr>
    </w:p>
    <w:p w14:paraId="5DD1E755" w14:textId="1788697C" w:rsidR="00DA4C12" w:rsidRPr="00412A91" w:rsidRDefault="00DA4C12" w:rsidP="00855BDD">
      <w:pPr>
        <w:ind w:firstLine="0"/>
        <w:rPr>
          <w:rFonts w:ascii="Times New Roman" w:hAnsi="Times New Roman"/>
          <w:sz w:val="20"/>
          <w:szCs w:val="20"/>
          <w:lang w:val="es-ES_tradnl"/>
        </w:rPr>
      </w:pPr>
    </w:p>
    <w:p w14:paraId="709DAF07" w14:textId="77777777" w:rsidR="00404893" w:rsidRPr="00DF4626" w:rsidRDefault="00404893" w:rsidP="00404893">
      <w:pPr>
        <w:pStyle w:val="Resumen"/>
        <w:rPr>
          <w:rFonts w:ascii="Times New Roman" w:hAnsi="Times New Roman"/>
          <w:b/>
          <w:bCs/>
          <w:i w:val="0"/>
          <w:caps/>
          <w:kern w:val="32"/>
          <w:sz w:val="28"/>
          <w:szCs w:val="28"/>
          <w:lang w:val="en-US"/>
        </w:rPr>
      </w:pPr>
      <w:r w:rsidRPr="00DF4626">
        <w:rPr>
          <w:rFonts w:ascii="Times New Roman" w:hAnsi="Times New Roman"/>
          <w:b/>
          <w:bCs/>
          <w:i w:val="0"/>
          <w:caps/>
          <w:kern w:val="32"/>
          <w:sz w:val="28"/>
          <w:szCs w:val="28"/>
          <w:lang w:val="en-US"/>
        </w:rPr>
        <w:t>THE TEACHING GUIDE IN THE PLANNING AND DEVELOPMENT OF UNIVERSITY EDUCATION</w:t>
      </w:r>
    </w:p>
    <w:p w14:paraId="7675C120" w14:textId="77777777" w:rsidR="00A85DF0" w:rsidRPr="00404893" w:rsidRDefault="00A85DF0" w:rsidP="00855BDD">
      <w:pPr>
        <w:pStyle w:val="Resumen"/>
        <w:ind w:left="0" w:right="-1"/>
        <w:rPr>
          <w:rFonts w:ascii="Times New Roman" w:hAnsi="Times New Roman"/>
          <w:b/>
          <w:i w:val="0"/>
          <w:sz w:val="20"/>
          <w:szCs w:val="20"/>
          <w:lang w:val="en-US"/>
        </w:rPr>
      </w:pPr>
    </w:p>
    <w:p w14:paraId="31BC2719" w14:textId="77777777" w:rsidR="00404893" w:rsidRPr="00DF4626" w:rsidRDefault="00C400A0" w:rsidP="00855BDD">
      <w:pPr>
        <w:pStyle w:val="Resumen"/>
        <w:ind w:left="0" w:right="-1"/>
        <w:rPr>
          <w:rFonts w:ascii="Times New Roman" w:hAnsi="Times New Roman"/>
          <w:i w:val="0"/>
          <w:sz w:val="20"/>
          <w:szCs w:val="20"/>
          <w:lang w:val="en-US"/>
        </w:rPr>
      </w:pPr>
      <w:r w:rsidRPr="00DF4626">
        <w:rPr>
          <w:rFonts w:ascii="Times New Roman" w:hAnsi="Times New Roman"/>
          <w:b/>
          <w:i w:val="0"/>
          <w:sz w:val="20"/>
          <w:szCs w:val="20"/>
          <w:lang w:val="en-US"/>
        </w:rPr>
        <w:t>Abstract</w:t>
      </w:r>
      <w:r w:rsidRPr="00DF4626">
        <w:rPr>
          <w:rFonts w:ascii="Times New Roman" w:hAnsi="Times New Roman"/>
          <w:i w:val="0"/>
          <w:sz w:val="20"/>
          <w:szCs w:val="20"/>
          <w:lang w:val="en-US"/>
        </w:rPr>
        <w:t xml:space="preserve">. </w:t>
      </w:r>
    </w:p>
    <w:p w14:paraId="764F8CC2" w14:textId="77777777" w:rsidR="00404893" w:rsidRPr="00DF4626" w:rsidRDefault="00404893" w:rsidP="00404893">
      <w:pPr>
        <w:rPr>
          <w:lang w:val="en-US"/>
        </w:rPr>
      </w:pPr>
    </w:p>
    <w:p w14:paraId="02C74559" w14:textId="387005B6" w:rsidR="00404893" w:rsidRDefault="00404893" w:rsidP="00855BDD">
      <w:pPr>
        <w:pStyle w:val="Resumen"/>
        <w:ind w:left="0" w:right="-1"/>
        <w:rPr>
          <w:rFonts w:ascii="Times New Roman" w:hAnsi="Times New Roman"/>
          <w:i w:val="0"/>
          <w:sz w:val="20"/>
          <w:szCs w:val="20"/>
          <w:lang w:val="en-US"/>
        </w:rPr>
      </w:pPr>
      <w:r w:rsidRPr="00404893">
        <w:rPr>
          <w:rFonts w:ascii="Times New Roman" w:hAnsi="Times New Roman"/>
          <w:i w:val="0"/>
          <w:sz w:val="20"/>
          <w:szCs w:val="20"/>
          <w:lang w:val="en-US"/>
        </w:rPr>
        <w:t>The intentional process that has been developing in recent times in university education has a fundamental reference, the teaching guide, which must be in line with the principles that guide the European convergence process and collect the planning of the teaching carried out by the teachers to manage student learning. Therefore, teacher planning is an element of quality, given that to achieve good learning in students requires a good guide of the work you have to develop in each subject. On the basis of this approach, a qualitative study was carried out, based on interviews with teachers and focus groups with key informants linked to university education, with the aim of assessing the usefulness of the teaching guide as a teaching resource. The results showed that the teaching guide is a basic instrument in the current model of university education. However, it has a more administrative than didactic function, since it is a resource that is used for the accreditation processes of degrees and to inform the students at the beginning of the course of the key aspects of the subjects, but it is not integrated into the dynamics daily of the formative process as a guide to learning.</w:t>
      </w:r>
    </w:p>
    <w:p w14:paraId="3C97E5CB" w14:textId="77777777" w:rsidR="00404893" w:rsidRPr="00404893" w:rsidRDefault="00404893" w:rsidP="00404893">
      <w:pPr>
        <w:rPr>
          <w:lang w:val="en-US"/>
        </w:rPr>
      </w:pPr>
    </w:p>
    <w:p w14:paraId="1506842D" w14:textId="6FB79E69" w:rsidR="00A85DF0" w:rsidRPr="00404893" w:rsidRDefault="001B7310" w:rsidP="00404893">
      <w:pPr>
        <w:pStyle w:val="Resumen"/>
        <w:ind w:left="0" w:right="-1"/>
        <w:rPr>
          <w:rFonts w:ascii="Times New Roman" w:hAnsi="Times New Roman"/>
          <w:color w:val="3366FF"/>
          <w:sz w:val="20"/>
          <w:szCs w:val="20"/>
          <w:lang w:val="en-US"/>
        </w:rPr>
      </w:pPr>
      <w:r w:rsidRPr="00404893">
        <w:rPr>
          <w:rFonts w:ascii="Times New Roman" w:hAnsi="Times New Roman"/>
          <w:b/>
          <w:i w:val="0"/>
          <w:sz w:val="20"/>
          <w:szCs w:val="20"/>
          <w:lang w:val="en-US"/>
        </w:rPr>
        <w:t>Key</w:t>
      </w:r>
      <w:r w:rsidR="00C400A0" w:rsidRPr="00404893">
        <w:rPr>
          <w:rFonts w:ascii="Times New Roman" w:hAnsi="Times New Roman"/>
          <w:b/>
          <w:i w:val="0"/>
          <w:sz w:val="20"/>
          <w:szCs w:val="20"/>
          <w:lang w:val="en-US"/>
        </w:rPr>
        <w:t xml:space="preserve">words: </w:t>
      </w:r>
      <w:r w:rsidR="00404893" w:rsidRPr="00404893">
        <w:rPr>
          <w:rFonts w:ascii="Times New Roman" w:hAnsi="Times New Roman"/>
          <w:i w:val="0"/>
          <w:sz w:val="20"/>
          <w:szCs w:val="20"/>
          <w:lang w:val="en-US"/>
        </w:rPr>
        <w:t>Teaching guide; teaching planning; learning management; formative model</w:t>
      </w:r>
    </w:p>
    <w:p w14:paraId="4BBD3B75" w14:textId="77777777" w:rsidR="00A85DF0" w:rsidRPr="00404893" w:rsidRDefault="00A85DF0" w:rsidP="00855BDD">
      <w:pPr>
        <w:ind w:firstLine="0"/>
        <w:rPr>
          <w:rFonts w:ascii="Times New Roman" w:hAnsi="Times New Roman"/>
          <w:color w:val="3366FF"/>
          <w:sz w:val="20"/>
          <w:szCs w:val="20"/>
          <w:lang w:val="en-US"/>
        </w:rPr>
      </w:pPr>
    </w:p>
    <w:p w14:paraId="22E33796" w14:textId="77777777" w:rsidR="00A85DF0" w:rsidRPr="00404893" w:rsidRDefault="00A85DF0" w:rsidP="00855BDD">
      <w:pPr>
        <w:ind w:firstLine="0"/>
        <w:rPr>
          <w:rFonts w:ascii="Times New Roman" w:hAnsi="Times New Roman"/>
          <w:color w:val="3366FF"/>
          <w:sz w:val="20"/>
          <w:szCs w:val="20"/>
          <w:lang w:val="en-US"/>
        </w:rPr>
      </w:pPr>
    </w:p>
    <w:p w14:paraId="6FD8F07C" w14:textId="404B7275" w:rsidR="00A85DF0" w:rsidRDefault="00404893" w:rsidP="00D95C8E">
      <w:pPr>
        <w:pStyle w:val="Resumen"/>
        <w:ind w:left="0" w:right="-1"/>
        <w:jc w:val="center"/>
        <w:rPr>
          <w:rFonts w:ascii="Times New Roman" w:hAnsi="Times New Roman"/>
          <w:b/>
          <w:bCs/>
          <w:i w:val="0"/>
          <w:sz w:val="28"/>
          <w:szCs w:val="28"/>
          <w:lang w:val="es-ES"/>
        </w:rPr>
      </w:pPr>
      <w:r w:rsidRPr="00404893">
        <w:rPr>
          <w:rFonts w:ascii="Times New Roman" w:hAnsi="Times New Roman"/>
          <w:b/>
          <w:bCs/>
          <w:i w:val="0"/>
          <w:sz w:val="28"/>
          <w:szCs w:val="28"/>
          <w:lang w:val="es-ES"/>
        </w:rPr>
        <w:t>GUIA DE ENSINO NO PLANEJAMENTO E DESENVOLVIMENTO DA EDUCAÇÃO UNIVERSITÁRIA</w:t>
      </w:r>
    </w:p>
    <w:p w14:paraId="6B7C1BA8" w14:textId="77777777" w:rsidR="00D95C8E" w:rsidRPr="00D95C8E" w:rsidRDefault="00D95C8E" w:rsidP="00D95C8E"/>
    <w:p w14:paraId="35A9564F" w14:textId="77777777" w:rsidR="00404893" w:rsidRDefault="00774614" w:rsidP="00855BDD">
      <w:pPr>
        <w:pStyle w:val="Resumen"/>
        <w:ind w:left="0" w:right="-1"/>
        <w:rPr>
          <w:rFonts w:ascii="Times New Roman" w:hAnsi="Times New Roman"/>
          <w:b/>
          <w:bCs/>
          <w:i w:val="0"/>
          <w:sz w:val="20"/>
          <w:szCs w:val="20"/>
        </w:rPr>
      </w:pPr>
      <w:r w:rsidRPr="00412A91">
        <w:rPr>
          <w:rFonts w:ascii="Times New Roman" w:hAnsi="Times New Roman"/>
          <w:b/>
          <w:bCs/>
          <w:i w:val="0"/>
          <w:sz w:val="20"/>
          <w:szCs w:val="20"/>
          <w:lang w:val="es-ES"/>
        </w:rPr>
        <w:t>Resumo</w:t>
      </w:r>
      <w:r w:rsidRPr="00412A91">
        <w:rPr>
          <w:rFonts w:ascii="Times New Roman" w:hAnsi="Times New Roman"/>
          <w:b/>
          <w:bCs/>
          <w:i w:val="0"/>
          <w:sz w:val="20"/>
          <w:szCs w:val="20"/>
        </w:rPr>
        <w:t>.</w:t>
      </w:r>
    </w:p>
    <w:p w14:paraId="3EB01CD2" w14:textId="77777777" w:rsidR="00404893" w:rsidRPr="00404893" w:rsidRDefault="00404893" w:rsidP="00404893">
      <w:pPr>
        <w:pStyle w:val="Resumen"/>
        <w:ind w:right="-1"/>
        <w:rPr>
          <w:rFonts w:ascii="Times New Roman" w:hAnsi="Times New Roman"/>
          <w:b/>
          <w:bCs/>
          <w:sz w:val="20"/>
          <w:szCs w:val="20"/>
        </w:rPr>
      </w:pPr>
    </w:p>
    <w:p w14:paraId="18160477" w14:textId="77777777" w:rsidR="00404893" w:rsidRPr="00DF4626" w:rsidRDefault="00404893" w:rsidP="00404893">
      <w:pPr>
        <w:pStyle w:val="Resumen"/>
        <w:ind w:left="0" w:right="-1"/>
        <w:rPr>
          <w:rFonts w:ascii="Times New Roman" w:hAnsi="Times New Roman"/>
          <w:i w:val="0"/>
          <w:sz w:val="20"/>
          <w:szCs w:val="20"/>
          <w:lang w:val="es-ES"/>
        </w:rPr>
      </w:pPr>
      <w:r w:rsidRPr="00DF4626">
        <w:rPr>
          <w:rFonts w:ascii="Times New Roman" w:hAnsi="Times New Roman"/>
          <w:i w:val="0"/>
          <w:sz w:val="20"/>
          <w:szCs w:val="20"/>
          <w:lang w:val="es-ES"/>
        </w:rPr>
        <w:t xml:space="preserve">O processo intencional que tem vindo a desenvolver nos últimos tempos no ensino universitário tem uma referência fundamental, o guia de ensino, que deve estar em consonância com os princípios que orientam o processo de convergência europeu e o planejamento do ensino realizado pelo professores para gerenciar a </w:t>
      </w:r>
      <w:r w:rsidRPr="00DF4626">
        <w:rPr>
          <w:rFonts w:ascii="Times New Roman" w:hAnsi="Times New Roman"/>
          <w:i w:val="0"/>
          <w:sz w:val="20"/>
          <w:szCs w:val="20"/>
          <w:lang w:val="es-ES"/>
        </w:rPr>
        <w:lastRenderedPageBreak/>
        <w:t>aprendizagem dos alunos. Por esta razão, o planejamento de professores é um elemento de qualidade, dado que, para alcançar uma boa aprendizagem nos alunos, é necessário um bom guia do trabalho que deve ser desenvolvido em cada assunto. Com base nessa abordagem, foi realizado um estudo qualitativo, com base em entrevistas com professores e grupos focais com informantes chave ligados ao ensino universitário, com o objetivo de avaliar a utilidade do guia de ensino como recurso de ensino. Os resultados mostraram que o guia de ensino é um instrumento básico no modelo atual de educação universitária. No entanto, tem uma função mais administrativa do que didática, uma vez que é um recurso que é usado para os processos de acreditação de graus e para informar os alunos no início do curso dos principais aspectos dos assuntos, mas não está integrado na dinâmica diariamente do processo formativo como um guia para aprender.</w:t>
      </w:r>
    </w:p>
    <w:p w14:paraId="257B489B" w14:textId="77777777" w:rsidR="00404893" w:rsidRDefault="00404893" w:rsidP="00404893">
      <w:pPr>
        <w:pStyle w:val="Resumen"/>
        <w:ind w:left="0" w:right="-1"/>
        <w:rPr>
          <w:rFonts w:ascii="Times New Roman" w:hAnsi="Times New Roman"/>
          <w:b/>
          <w:bCs/>
          <w:sz w:val="20"/>
          <w:szCs w:val="20"/>
        </w:rPr>
      </w:pPr>
    </w:p>
    <w:p w14:paraId="187B81AC" w14:textId="5D45AA59" w:rsidR="00A85DF0" w:rsidRDefault="009465EF" w:rsidP="00D95C8E">
      <w:pPr>
        <w:pStyle w:val="Resumen"/>
        <w:ind w:left="0" w:right="-1"/>
        <w:rPr>
          <w:rFonts w:ascii="Times New Roman" w:hAnsi="Times New Roman"/>
          <w:color w:val="3366FF"/>
          <w:sz w:val="20"/>
          <w:szCs w:val="20"/>
        </w:rPr>
      </w:pPr>
      <w:r w:rsidRPr="00412A91">
        <w:rPr>
          <w:rFonts w:ascii="Times New Roman" w:hAnsi="Times New Roman"/>
          <w:b/>
          <w:i w:val="0"/>
          <w:sz w:val="20"/>
          <w:szCs w:val="20"/>
          <w:lang w:val="es-ES_tradnl"/>
        </w:rPr>
        <w:t>Palavras-chave:</w:t>
      </w:r>
      <w:r w:rsidRPr="00412A91">
        <w:rPr>
          <w:rFonts w:ascii="Times New Roman" w:hAnsi="Times New Roman"/>
          <w:i w:val="0"/>
          <w:sz w:val="20"/>
          <w:szCs w:val="20"/>
          <w:lang w:val="es-ES_tradnl"/>
        </w:rPr>
        <w:t xml:space="preserve"> </w:t>
      </w:r>
      <w:r w:rsidR="00D95C8E" w:rsidRPr="00D95C8E">
        <w:rPr>
          <w:rFonts w:ascii="Times New Roman" w:hAnsi="Times New Roman"/>
          <w:i w:val="0"/>
          <w:sz w:val="20"/>
          <w:szCs w:val="20"/>
          <w:lang w:val="es-ES_tradnl"/>
        </w:rPr>
        <w:t>Guia de ensino; planejamento de ensino; gestão de aprendizagem; modelo formativo.</w:t>
      </w:r>
    </w:p>
    <w:p w14:paraId="7888FC2B" w14:textId="77777777" w:rsidR="00A85DF0" w:rsidRDefault="00A85DF0" w:rsidP="00855BDD">
      <w:pPr>
        <w:ind w:firstLine="0"/>
        <w:rPr>
          <w:rFonts w:ascii="Times New Roman" w:hAnsi="Times New Roman"/>
          <w:color w:val="3366FF"/>
          <w:sz w:val="20"/>
          <w:szCs w:val="20"/>
        </w:rPr>
      </w:pPr>
    </w:p>
    <w:p w14:paraId="09BD287D" w14:textId="77777777" w:rsidR="00A85DF0" w:rsidRDefault="00A85DF0" w:rsidP="00855BDD">
      <w:pPr>
        <w:ind w:firstLine="0"/>
        <w:rPr>
          <w:rFonts w:ascii="Times New Roman" w:hAnsi="Times New Roman"/>
          <w:color w:val="3366FF"/>
          <w:sz w:val="20"/>
          <w:szCs w:val="20"/>
        </w:rPr>
      </w:pPr>
    </w:p>
    <w:p w14:paraId="301C8236" w14:textId="77777777" w:rsidR="00A85DF0" w:rsidRDefault="00A85DF0" w:rsidP="00855BDD">
      <w:pPr>
        <w:ind w:firstLine="0"/>
        <w:rPr>
          <w:rFonts w:ascii="Times New Roman" w:hAnsi="Times New Roman"/>
          <w:color w:val="3366FF"/>
          <w:sz w:val="20"/>
          <w:szCs w:val="20"/>
        </w:rPr>
      </w:pPr>
    </w:p>
    <w:p w14:paraId="4F8105EA" w14:textId="436FDCF1" w:rsidR="00051E49" w:rsidRPr="00412A91" w:rsidRDefault="00E64401" w:rsidP="00855BDD">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5B417C83" w14:textId="175ED346" w:rsidR="0035456F" w:rsidRPr="0088169A" w:rsidRDefault="000D066A" w:rsidP="00855BDD">
      <w:pPr>
        <w:ind w:firstLine="709"/>
        <w:rPr>
          <w:rFonts w:ascii="Times New Roman" w:hAnsi="Times New Roman"/>
          <w:sz w:val="24"/>
        </w:rPr>
      </w:pPr>
      <w:r w:rsidRPr="0088169A">
        <w:rPr>
          <w:rFonts w:ascii="Times New Roman" w:hAnsi="Times New Roman"/>
          <w:sz w:val="24"/>
        </w:rPr>
        <w:t>Con</w:t>
      </w:r>
      <w:r w:rsidR="0035456F" w:rsidRPr="0088169A">
        <w:rPr>
          <w:rFonts w:ascii="Times New Roman" w:hAnsi="Times New Roman"/>
          <w:sz w:val="24"/>
        </w:rPr>
        <w:t xml:space="preserve"> la implantación del Espacio Europeo de Educación Superior (EEES) </w:t>
      </w:r>
      <w:r w:rsidR="00F12CE2" w:rsidRPr="0088169A">
        <w:rPr>
          <w:rFonts w:ascii="Times New Roman" w:hAnsi="Times New Roman"/>
          <w:sz w:val="24"/>
        </w:rPr>
        <w:t xml:space="preserve">se ha venido convergiendo </w:t>
      </w:r>
      <w:r w:rsidR="0035456F" w:rsidRPr="0088169A">
        <w:rPr>
          <w:rFonts w:ascii="Times New Roman" w:hAnsi="Times New Roman"/>
          <w:sz w:val="24"/>
        </w:rPr>
        <w:t xml:space="preserve">hacia un modelo </w:t>
      </w:r>
      <w:r w:rsidRPr="0088169A">
        <w:rPr>
          <w:rFonts w:ascii="Times New Roman" w:hAnsi="Times New Roman"/>
          <w:sz w:val="24"/>
        </w:rPr>
        <w:t xml:space="preserve">formativo </w:t>
      </w:r>
      <w:r w:rsidR="0035456F" w:rsidRPr="0088169A">
        <w:rPr>
          <w:rFonts w:ascii="Times New Roman" w:hAnsi="Times New Roman"/>
          <w:sz w:val="24"/>
        </w:rPr>
        <w:t>común entre los sistemas educativos universitarios de los distintos países</w:t>
      </w:r>
      <w:r w:rsidRPr="0088169A">
        <w:rPr>
          <w:rFonts w:ascii="Times New Roman" w:hAnsi="Times New Roman"/>
          <w:sz w:val="24"/>
        </w:rPr>
        <w:t xml:space="preserve"> europeos</w:t>
      </w:r>
      <w:r w:rsidR="0035456F" w:rsidRPr="0088169A">
        <w:rPr>
          <w:rFonts w:ascii="Times New Roman" w:hAnsi="Times New Roman"/>
          <w:sz w:val="24"/>
        </w:rPr>
        <w:t xml:space="preserve">. Entre las </w:t>
      </w:r>
      <w:r w:rsidR="008844C5" w:rsidRPr="0088169A">
        <w:rPr>
          <w:rFonts w:ascii="Times New Roman" w:hAnsi="Times New Roman"/>
          <w:sz w:val="24"/>
        </w:rPr>
        <w:t xml:space="preserve">novedades </w:t>
      </w:r>
      <w:r w:rsidR="0035456F" w:rsidRPr="0088169A">
        <w:rPr>
          <w:rFonts w:ascii="Times New Roman" w:hAnsi="Times New Roman"/>
          <w:sz w:val="24"/>
        </w:rPr>
        <w:t xml:space="preserve">básicas que se incorporan con este enfoque, se establece un mecanismo de créditos y un sistema comparable de titulaciones para promover la movilidad de los estudiantes. </w:t>
      </w:r>
      <w:r w:rsidRPr="0088169A">
        <w:rPr>
          <w:rFonts w:ascii="Times New Roman" w:hAnsi="Times New Roman"/>
          <w:sz w:val="24"/>
        </w:rPr>
        <w:t>Es e</w:t>
      </w:r>
      <w:r w:rsidR="0035456F" w:rsidRPr="0088169A">
        <w:rPr>
          <w:rFonts w:ascii="Times New Roman" w:hAnsi="Times New Roman"/>
          <w:sz w:val="24"/>
        </w:rPr>
        <w:t>n este marco general de la Convergencia Europea</w:t>
      </w:r>
      <w:r w:rsidRPr="0088169A">
        <w:rPr>
          <w:rFonts w:ascii="Times New Roman" w:hAnsi="Times New Roman"/>
          <w:sz w:val="24"/>
        </w:rPr>
        <w:t xml:space="preserve"> donde</w:t>
      </w:r>
      <w:r w:rsidR="0035456F" w:rsidRPr="0088169A">
        <w:rPr>
          <w:rFonts w:ascii="Times New Roman" w:hAnsi="Times New Roman"/>
          <w:sz w:val="24"/>
        </w:rPr>
        <w:t xml:space="preserve"> las guías docentes se presentan como un recurso fundamental para conseguir el objetivo de “promover la cooperación europea en garantía de calidad mediante el desarrollo de metodologías y criterios comparables” (Declaración de Bolonia, 1999).</w:t>
      </w:r>
    </w:p>
    <w:p w14:paraId="7860CBC4" w14:textId="4AC17EAB" w:rsidR="00523B1E" w:rsidRPr="0088169A" w:rsidRDefault="00523B1E" w:rsidP="00855BDD">
      <w:pPr>
        <w:ind w:firstLine="709"/>
        <w:rPr>
          <w:rFonts w:ascii="Times New Roman" w:hAnsi="Times New Roman"/>
          <w:sz w:val="24"/>
        </w:rPr>
      </w:pPr>
      <w:r w:rsidRPr="0088169A">
        <w:rPr>
          <w:rFonts w:ascii="Times New Roman" w:hAnsi="Times New Roman"/>
          <w:sz w:val="24"/>
        </w:rPr>
        <w:t>Todas las recomendaciones y directrices</w:t>
      </w:r>
      <w:r w:rsidR="008844C5" w:rsidRPr="0088169A">
        <w:rPr>
          <w:rFonts w:ascii="Times New Roman" w:hAnsi="Times New Roman"/>
          <w:sz w:val="24"/>
        </w:rPr>
        <w:t xml:space="preserve"> planteadas</w:t>
      </w:r>
      <w:r w:rsidRPr="0088169A">
        <w:rPr>
          <w:rFonts w:ascii="Times New Roman" w:hAnsi="Times New Roman"/>
          <w:sz w:val="24"/>
        </w:rPr>
        <w:t xml:space="preserve"> con la finalidad de consolidar el modelo del Espaci</w:t>
      </w:r>
      <w:r w:rsidR="008844C5" w:rsidRPr="0088169A">
        <w:rPr>
          <w:rFonts w:ascii="Times New Roman" w:hAnsi="Times New Roman"/>
          <w:sz w:val="24"/>
        </w:rPr>
        <w:t xml:space="preserve">o Europeo de Educación Superior, </w:t>
      </w:r>
      <w:r w:rsidRPr="0088169A">
        <w:rPr>
          <w:rFonts w:ascii="Times New Roman" w:hAnsi="Times New Roman"/>
          <w:sz w:val="24"/>
        </w:rPr>
        <w:t>sitúan en un lugar destacado la necesidad de reforzar la planificación, tanto de las titulaciones que conforman la propia oferta formativa, como de las asignaturas y materias que la integran, de modo que sean un referente básico para el estudiante</w:t>
      </w:r>
      <w:r w:rsidR="00004156" w:rsidRPr="0088169A">
        <w:rPr>
          <w:rFonts w:ascii="Times New Roman" w:hAnsi="Times New Roman"/>
          <w:sz w:val="24"/>
        </w:rPr>
        <w:t xml:space="preserve"> (Fidalgo y García, 200</w:t>
      </w:r>
      <w:r w:rsidR="005070E6" w:rsidRPr="0088169A">
        <w:rPr>
          <w:rFonts w:ascii="Times New Roman" w:hAnsi="Times New Roman"/>
          <w:sz w:val="24"/>
        </w:rPr>
        <w:t>7</w:t>
      </w:r>
      <w:r w:rsidR="00AE0BF3">
        <w:rPr>
          <w:rFonts w:ascii="Times New Roman" w:hAnsi="Times New Roman"/>
          <w:sz w:val="24"/>
        </w:rPr>
        <w:t>;</w:t>
      </w:r>
      <w:r w:rsidR="00AE0BF3" w:rsidRPr="00AE0BF3">
        <w:rPr>
          <w:rFonts w:asciiTheme="minorHAnsi" w:eastAsiaTheme="minorHAnsi" w:hAnsiTheme="minorHAnsi" w:cstheme="minorBidi"/>
          <w:szCs w:val="22"/>
          <w:lang w:eastAsia="en-US"/>
        </w:rPr>
        <w:t xml:space="preserve"> </w:t>
      </w:r>
      <w:r w:rsidR="00AE0BF3" w:rsidRPr="00AE0BF3">
        <w:rPr>
          <w:rFonts w:ascii="Times New Roman" w:hAnsi="Times New Roman"/>
          <w:sz w:val="24"/>
        </w:rPr>
        <w:t>Cano, Tomás, García, Bañón,</w:t>
      </w:r>
      <w:r w:rsidR="00AE0BF3">
        <w:rPr>
          <w:rFonts w:ascii="Times New Roman" w:hAnsi="Times New Roman"/>
          <w:sz w:val="24"/>
        </w:rPr>
        <w:t xml:space="preserve"> Riquelme</w:t>
      </w:r>
      <w:r w:rsidR="00AE0BF3" w:rsidRPr="00AE0BF3">
        <w:rPr>
          <w:rFonts w:ascii="Times New Roman" w:hAnsi="Times New Roman"/>
          <w:sz w:val="24"/>
        </w:rPr>
        <w:t xml:space="preserve"> y Murcia, 2016).</w:t>
      </w:r>
      <w:r w:rsidR="00B74A34" w:rsidRPr="0088169A">
        <w:rPr>
          <w:rFonts w:ascii="Times New Roman" w:hAnsi="Times New Roman"/>
          <w:sz w:val="24"/>
        </w:rPr>
        <w:t xml:space="preserve"> En esta línea, Morón y Pedrero (2012, p.</w:t>
      </w:r>
      <w:r w:rsidR="000459A0">
        <w:rPr>
          <w:rFonts w:ascii="Times New Roman" w:hAnsi="Times New Roman"/>
          <w:sz w:val="24"/>
        </w:rPr>
        <w:t xml:space="preserve"> </w:t>
      </w:r>
      <w:r w:rsidR="00B74A34" w:rsidRPr="0088169A">
        <w:rPr>
          <w:rFonts w:ascii="Times New Roman" w:hAnsi="Times New Roman"/>
          <w:sz w:val="24"/>
        </w:rPr>
        <w:t>375) plantean que</w:t>
      </w:r>
      <w:r w:rsidR="008844C5" w:rsidRPr="0088169A">
        <w:rPr>
          <w:rFonts w:ascii="Times New Roman" w:hAnsi="Times New Roman"/>
          <w:sz w:val="24"/>
        </w:rPr>
        <w:t>,</w:t>
      </w:r>
      <w:r w:rsidR="00B74A34" w:rsidRPr="0088169A">
        <w:rPr>
          <w:rFonts w:ascii="Times New Roman" w:hAnsi="Times New Roman"/>
          <w:sz w:val="24"/>
        </w:rPr>
        <w:t xml:space="preserve"> a través de la guía docente</w:t>
      </w:r>
      <w:r w:rsidR="008844C5" w:rsidRPr="0088169A">
        <w:rPr>
          <w:rFonts w:ascii="Times New Roman" w:hAnsi="Times New Roman"/>
          <w:sz w:val="24"/>
        </w:rPr>
        <w:t>,</w:t>
      </w:r>
      <w:r w:rsidR="00B74A34" w:rsidRPr="0088169A">
        <w:rPr>
          <w:rFonts w:ascii="Times New Roman" w:hAnsi="Times New Roman"/>
          <w:sz w:val="24"/>
        </w:rPr>
        <w:t xml:space="preserve"> se ha conseguido optimizar “los procesos de planificación docente de forma que se facilite la visibilidad y comparabilidad de los programas”. De este modo, la guía docente se ha convertido en los últimos tiempos e</w:t>
      </w:r>
      <w:r w:rsidR="00A92027" w:rsidRPr="0088169A">
        <w:rPr>
          <w:rFonts w:ascii="Times New Roman" w:hAnsi="Times New Roman"/>
          <w:sz w:val="24"/>
        </w:rPr>
        <w:t>n</w:t>
      </w:r>
      <w:r w:rsidR="00B74A34" w:rsidRPr="0088169A">
        <w:rPr>
          <w:rFonts w:ascii="Times New Roman" w:hAnsi="Times New Roman"/>
          <w:sz w:val="24"/>
        </w:rPr>
        <w:t xml:space="preserve"> un recurso estratégico de la organización y planificación de los títulos. La guía docente </w:t>
      </w:r>
      <w:r w:rsidR="002B2A1B" w:rsidRPr="0088169A">
        <w:rPr>
          <w:rFonts w:ascii="Times New Roman" w:hAnsi="Times New Roman"/>
          <w:sz w:val="24"/>
        </w:rPr>
        <w:t>sitúa</w:t>
      </w:r>
      <w:r w:rsidR="00B74A34" w:rsidRPr="0088169A">
        <w:rPr>
          <w:rFonts w:ascii="Times New Roman" w:hAnsi="Times New Roman"/>
          <w:sz w:val="24"/>
        </w:rPr>
        <w:t xml:space="preserve"> las asignaturas en el marco general de la titulación y </w:t>
      </w:r>
      <w:r w:rsidR="002B2A1B" w:rsidRPr="0088169A">
        <w:rPr>
          <w:rFonts w:ascii="Times New Roman" w:hAnsi="Times New Roman"/>
          <w:sz w:val="24"/>
        </w:rPr>
        <w:t>recoge la contribución que desde cada materia se hace al desarrollo del perfil profesional del título.</w:t>
      </w:r>
      <w:r w:rsidR="00D37025" w:rsidRPr="0088169A">
        <w:rPr>
          <w:rFonts w:ascii="Times New Roman" w:hAnsi="Times New Roman"/>
          <w:sz w:val="24"/>
        </w:rPr>
        <w:t xml:space="preserve"> Fernández y Fernández (2007, p.</w:t>
      </w:r>
      <w:r w:rsidR="000459A0">
        <w:rPr>
          <w:rFonts w:ascii="Times New Roman" w:hAnsi="Times New Roman"/>
          <w:sz w:val="24"/>
        </w:rPr>
        <w:t xml:space="preserve"> </w:t>
      </w:r>
      <w:r w:rsidR="00D37025" w:rsidRPr="0088169A">
        <w:rPr>
          <w:rFonts w:ascii="Times New Roman" w:hAnsi="Times New Roman"/>
          <w:sz w:val="24"/>
        </w:rPr>
        <w:t xml:space="preserve">55) </w:t>
      </w:r>
      <w:r w:rsidR="00CB70A6" w:rsidRPr="0088169A">
        <w:rPr>
          <w:rFonts w:ascii="Times New Roman" w:hAnsi="Times New Roman"/>
          <w:sz w:val="24"/>
        </w:rPr>
        <w:t xml:space="preserve">plantean que </w:t>
      </w:r>
      <w:r w:rsidR="00D37025" w:rsidRPr="0088169A">
        <w:rPr>
          <w:rFonts w:ascii="Times New Roman" w:hAnsi="Times New Roman"/>
          <w:sz w:val="24"/>
        </w:rPr>
        <w:t xml:space="preserve">la guía docente debe </w:t>
      </w:r>
      <w:r w:rsidR="002B2A1B" w:rsidRPr="0088169A">
        <w:rPr>
          <w:rFonts w:ascii="Times New Roman" w:hAnsi="Times New Roman"/>
          <w:sz w:val="24"/>
        </w:rPr>
        <w:t>especificar</w:t>
      </w:r>
      <w:r w:rsidR="00D37025" w:rsidRPr="0088169A">
        <w:rPr>
          <w:rFonts w:ascii="Times New Roman" w:hAnsi="Times New Roman"/>
          <w:sz w:val="24"/>
        </w:rPr>
        <w:t xml:space="preserve"> “cuáles son los objetivos que se pretenden con la inclusión de la materia en un plan de estudios que conduce a un perfil profesional”.</w:t>
      </w:r>
    </w:p>
    <w:p w14:paraId="420AE357" w14:textId="6EF9BEF9" w:rsidR="00D37025" w:rsidRPr="0088169A" w:rsidRDefault="00B74A34" w:rsidP="00855BDD">
      <w:pPr>
        <w:ind w:firstLine="709"/>
        <w:rPr>
          <w:rFonts w:ascii="Times New Roman" w:hAnsi="Times New Roman"/>
          <w:sz w:val="24"/>
        </w:rPr>
      </w:pPr>
      <w:r w:rsidRPr="0088169A">
        <w:rPr>
          <w:rFonts w:ascii="Times New Roman" w:hAnsi="Times New Roman"/>
          <w:sz w:val="24"/>
        </w:rPr>
        <w:t xml:space="preserve">La importancia que ha alcanzado la guía docente en el modelo formativo universitario actual, exige que se tome muy en cuenta </w:t>
      </w:r>
      <w:r w:rsidR="0070733E" w:rsidRPr="0088169A">
        <w:rPr>
          <w:rFonts w:ascii="Times New Roman" w:hAnsi="Times New Roman"/>
          <w:sz w:val="24"/>
        </w:rPr>
        <w:t>los procesos de</w:t>
      </w:r>
      <w:r w:rsidRPr="0088169A">
        <w:rPr>
          <w:rFonts w:ascii="Times New Roman" w:hAnsi="Times New Roman"/>
          <w:sz w:val="24"/>
        </w:rPr>
        <w:t xml:space="preserve"> planificación</w:t>
      </w:r>
      <w:r w:rsidR="002B2A1B" w:rsidRPr="0088169A">
        <w:rPr>
          <w:rFonts w:ascii="Times New Roman" w:hAnsi="Times New Roman"/>
          <w:sz w:val="24"/>
        </w:rPr>
        <w:t xml:space="preserve"> de la enseñanza</w:t>
      </w:r>
      <w:r w:rsidRPr="0088169A">
        <w:rPr>
          <w:rFonts w:ascii="Times New Roman" w:hAnsi="Times New Roman"/>
          <w:sz w:val="24"/>
        </w:rPr>
        <w:t xml:space="preserve"> (Díez, Pacheco y García, 2008</w:t>
      </w:r>
      <w:r w:rsidR="006522F8">
        <w:rPr>
          <w:rFonts w:ascii="Times New Roman" w:hAnsi="Times New Roman"/>
          <w:sz w:val="24"/>
        </w:rPr>
        <w:t xml:space="preserve">; </w:t>
      </w:r>
      <w:r w:rsidR="006522F8" w:rsidRPr="006522F8">
        <w:rPr>
          <w:rFonts w:ascii="Times New Roman" w:hAnsi="Times New Roman"/>
          <w:sz w:val="24"/>
        </w:rPr>
        <w:t>García, 2014</w:t>
      </w:r>
      <w:r w:rsidR="006522F8">
        <w:rPr>
          <w:rFonts w:ascii="Times New Roman" w:hAnsi="Times New Roman"/>
          <w:sz w:val="24"/>
        </w:rPr>
        <w:t xml:space="preserve">; </w:t>
      </w:r>
      <w:r w:rsidR="006522F8" w:rsidRPr="006522F8">
        <w:rPr>
          <w:rFonts w:ascii="Times New Roman" w:hAnsi="Times New Roman"/>
          <w:sz w:val="24"/>
        </w:rPr>
        <w:t xml:space="preserve">Marcelo, Yot, Mayor, Sánchez, Murillo, </w:t>
      </w:r>
      <w:r w:rsidR="006522F8">
        <w:rPr>
          <w:rFonts w:ascii="Times New Roman" w:hAnsi="Times New Roman"/>
          <w:sz w:val="24"/>
        </w:rPr>
        <w:t>Rodríguez</w:t>
      </w:r>
      <w:r w:rsidR="006522F8" w:rsidRPr="006522F8">
        <w:rPr>
          <w:rFonts w:ascii="Times New Roman" w:hAnsi="Times New Roman"/>
          <w:sz w:val="24"/>
        </w:rPr>
        <w:t xml:space="preserve"> y Pardo, 2014).</w:t>
      </w:r>
      <w:r w:rsidRPr="0088169A">
        <w:rPr>
          <w:rFonts w:ascii="Times New Roman" w:hAnsi="Times New Roman"/>
          <w:sz w:val="24"/>
        </w:rPr>
        <w:t xml:space="preserve"> Requiere, por parte del profesorado, reflexión, previsión y preparación del proceso de enseñanza-aprendizaje</w:t>
      </w:r>
      <w:r w:rsidR="00004156" w:rsidRPr="0088169A">
        <w:rPr>
          <w:rFonts w:ascii="Times New Roman" w:hAnsi="Times New Roman"/>
          <w:sz w:val="24"/>
        </w:rPr>
        <w:t>. Como señalan Sánchez, Ruiz y Pascual (2011</w:t>
      </w:r>
      <w:r w:rsidR="00D37025" w:rsidRPr="0088169A">
        <w:rPr>
          <w:rFonts w:ascii="Times New Roman" w:hAnsi="Times New Roman"/>
          <w:sz w:val="24"/>
        </w:rPr>
        <w:t>, p.</w:t>
      </w:r>
      <w:r w:rsidR="00004156" w:rsidRPr="0088169A">
        <w:rPr>
          <w:rFonts w:ascii="Times New Roman" w:hAnsi="Times New Roman"/>
          <w:sz w:val="24"/>
        </w:rPr>
        <w:t>54) la planificación ayuda al docente a clarificar “qué va a hacer y para qué va a hacerlo durante el período de las clases”.</w:t>
      </w:r>
      <w:r w:rsidR="002B2A1B" w:rsidRPr="0088169A">
        <w:rPr>
          <w:rFonts w:ascii="Times New Roman" w:hAnsi="Times New Roman"/>
          <w:sz w:val="24"/>
        </w:rPr>
        <w:t xml:space="preserve"> </w:t>
      </w:r>
      <w:r w:rsidR="0001160B" w:rsidRPr="0088169A">
        <w:rPr>
          <w:rFonts w:ascii="Times New Roman" w:hAnsi="Times New Roman"/>
          <w:sz w:val="24"/>
        </w:rPr>
        <w:t>L</w:t>
      </w:r>
      <w:r w:rsidR="00605836" w:rsidRPr="0088169A">
        <w:rPr>
          <w:rFonts w:ascii="Times New Roman" w:hAnsi="Times New Roman"/>
          <w:sz w:val="24"/>
        </w:rPr>
        <w:t>a guía docente es un instrumento</w:t>
      </w:r>
      <w:r w:rsidR="00BE674C" w:rsidRPr="0088169A">
        <w:rPr>
          <w:rFonts w:ascii="Times New Roman" w:hAnsi="Times New Roman"/>
          <w:sz w:val="24"/>
        </w:rPr>
        <w:t xml:space="preserve"> que sirve</w:t>
      </w:r>
      <w:r w:rsidR="00605836" w:rsidRPr="0088169A">
        <w:rPr>
          <w:rFonts w:ascii="Times New Roman" w:hAnsi="Times New Roman"/>
          <w:sz w:val="24"/>
        </w:rPr>
        <w:t xml:space="preserve"> </w:t>
      </w:r>
      <w:r w:rsidR="00BE674C" w:rsidRPr="0088169A">
        <w:rPr>
          <w:rFonts w:ascii="Times New Roman" w:hAnsi="Times New Roman"/>
          <w:sz w:val="24"/>
        </w:rPr>
        <w:t>para</w:t>
      </w:r>
      <w:r w:rsidR="00605836" w:rsidRPr="0088169A">
        <w:rPr>
          <w:rFonts w:ascii="Times New Roman" w:hAnsi="Times New Roman"/>
          <w:sz w:val="24"/>
        </w:rPr>
        <w:t xml:space="preserve"> planificar, de manera detallada</w:t>
      </w:r>
      <w:r w:rsidR="00BE674C" w:rsidRPr="0088169A">
        <w:rPr>
          <w:rFonts w:ascii="Times New Roman" w:hAnsi="Times New Roman"/>
          <w:sz w:val="24"/>
        </w:rPr>
        <w:t xml:space="preserve"> y estructurada</w:t>
      </w:r>
      <w:r w:rsidR="00605836" w:rsidRPr="0088169A">
        <w:rPr>
          <w:rFonts w:ascii="Times New Roman" w:hAnsi="Times New Roman"/>
          <w:sz w:val="24"/>
        </w:rPr>
        <w:t>, c</w:t>
      </w:r>
      <w:r w:rsidR="00A85DF0" w:rsidRPr="0088169A">
        <w:rPr>
          <w:rFonts w:ascii="Times New Roman" w:hAnsi="Times New Roman"/>
          <w:sz w:val="24"/>
        </w:rPr>
        <w:t>ualquier asignatura o módulo</w:t>
      </w:r>
      <w:r w:rsidR="00BE674C" w:rsidRPr="0088169A">
        <w:rPr>
          <w:rFonts w:ascii="Times New Roman" w:hAnsi="Times New Roman"/>
          <w:sz w:val="24"/>
        </w:rPr>
        <w:t xml:space="preserve">, ajustando la programación a </w:t>
      </w:r>
      <w:r w:rsidR="00A85DF0" w:rsidRPr="0088169A">
        <w:rPr>
          <w:rFonts w:ascii="Times New Roman" w:hAnsi="Times New Roman"/>
          <w:sz w:val="24"/>
        </w:rPr>
        <w:t xml:space="preserve">los principios </w:t>
      </w:r>
      <w:r w:rsidR="00F41806">
        <w:rPr>
          <w:rFonts w:ascii="Times New Roman" w:hAnsi="Times New Roman"/>
          <w:sz w:val="24"/>
        </w:rPr>
        <w:t xml:space="preserve">y directrices del </w:t>
      </w:r>
      <w:r w:rsidR="0001160B" w:rsidRPr="0088169A">
        <w:rPr>
          <w:rFonts w:ascii="Times New Roman" w:hAnsi="Times New Roman"/>
          <w:sz w:val="24"/>
        </w:rPr>
        <w:t>EEES</w:t>
      </w:r>
      <w:r w:rsidR="00A85DF0" w:rsidRPr="0088169A">
        <w:rPr>
          <w:rFonts w:ascii="Times New Roman" w:hAnsi="Times New Roman"/>
          <w:sz w:val="24"/>
        </w:rPr>
        <w:t>.</w:t>
      </w:r>
      <w:r w:rsidR="0099111A">
        <w:rPr>
          <w:rFonts w:ascii="Times New Roman" w:hAnsi="Times New Roman"/>
          <w:sz w:val="24"/>
        </w:rPr>
        <w:t xml:space="preserve"> </w:t>
      </w:r>
      <w:r w:rsidR="00AE0BF3">
        <w:rPr>
          <w:rFonts w:ascii="Times New Roman" w:hAnsi="Times New Roman"/>
          <w:sz w:val="24"/>
        </w:rPr>
        <w:t xml:space="preserve">Se trata, por tanto, de un recurso del que no se puede prescindir y </w:t>
      </w:r>
      <w:r w:rsidR="00F41806">
        <w:rPr>
          <w:rFonts w:ascii="Times New Roman" w:hAnsi="Times New Roman"/>
          <w:sz w:val="24"/>
        </w:rPr>
        <w:t xml:space="preserve">que, </w:t>
      </w:r>
      <w:r w:rsidR="00AE0BF3">
        <w:rPr>
          <w:rFonts w:ascii="Times New Roman" w:hAnsi="Times New Roman"/>
          <w:sz w:val="24"/>
        </w:rPr>
        <w:t xml:space="preserve">como resaltan </w:t>
      </w:r>
      <w:r w:rsidR="0099111A" w:rsidRPr="0099111A">
        <w:rPr>
          <w:rFonts w:ascii="Times New Roman" w:hAnsi="Times New Roman"/>
          <w:sz w:val="24"/>
        </w:rPr>
        <w:t>García</w:t>
      </w:r>
      <w:r w:rsidR="0099111A">
        <w:rPr>
          <w:rFonts w:ascii="Times New Roman" w:hAnsi="Times New Roman"/>
          <w:sz w:val="24"/>
        </w:rPr>
        <w:t xml:space="preserve"> y</w:t>
      </w:r>
      <w:r w:rsidR="0099111A" w:rsidRPr="0099111A">
        <w:rPr>
          <w:rFonts w:ascii="Times New Roman" w:hAnsi="Times New Roman"/>
          <w:sz w:val="24"/>
        </w:rPr>
        <w:t xml:space="preserve"> De la Cruz</w:t>
      </w:r>
      <w:r w:rsidR="0099111A">
        <w:rPr>
          <w:rFonts w:ascii="Times New Roman" w:hAnsi="Times New Roman"/>
          <w:sz w:val="24"/>
        </w:rPr>
        <w:t xml:space="preserve"> (</w:t>
      </w:r>
      <w:r w:rsidR="0099111A" w:rsidRPr="0099111A">
        <w:rPr>
          <w:rFonts w:ascii="Times New Roman" w:hAnsi="Times New Roman"/>
          <w:sz w:val="24"/>
        </w:rPr>
        <w:t>2014)</w:t>
      </w:r>
      <w:r w:rsidR="00AE0BF3">
        <w:rPr>
          <w:rFonts w:ascii="Times New Roman" w:hAnsi="Times New Roman"/>
          <w:sz w:val="24"/>
        </w:rPr>
        <w:t xml:space="preserve">, ayuda a optimizar las tareas del profesorado y el alumnado universitario. </w:t>
      </w:r>
      <w:r w:rsidR="00D37025" w:rsidRPr="0088169A">
        <w:rPr>
          <w:rFonts w:ascii="Times New Roman" w:hAnsi="Times New Roman"/>
          <w:sz w:val="24"/>
        </w:rPr>
        <w:t>Sánchez, Ruiz y Pascual (2011, p.</w:t>
      </w:r>
      <w:r w:rsidR="000459A0">
        <w:rPr>
          <w:rFonts w:ascii="Times New Roman" w:hAnsi="Times New Roman"/>
          <w:sz w:val="24"/>
        </w:rPr>
        <w:t xml:space="preserve"> </w:t>
      </w:r>
      <w:r w:rsidR="00D37025" w:rsidRPr="0088169A">
        <w:rPr>
          <w:rFonts w:ascii="Times New Roman" w:hAnsi="Times New Roman"/>
          <w:sz w:val="24"/>
        </w:rPr>
        <w:t>53)</w:t>
      </w:r>
      <w:r w:rsidR="00AE0BF3">
        <w:rPr>
          <w:rFonts w:ascii="Times New Roman" w:hAnsi="Times New Roman"/>
          <w:sz w:val="24"/>
        </w:rPr>
        <w:t>, al referirse a la guía docente, señalan que</w:t>
      </w:r>
      <w:r w:rsidR="00D37025" w:rsidRPr="0088169A">
        <w:rPr>
          <w:rFonts w:ascii="Times New Roman" w:hAnsi="Times New Roman"/>
          <w:sz w:val="24"/>
        </w:rPr>
        <w:t xml:space="preserve"> es “una delineación básica de los principios que regirán el desarrollo de la materia o módulo. La guía significa estructura en el mismo paquete </w:t>
      </w:r>
      <w:r w:rsidR="0070733E" w:rsidRPr="0088169A">
        <w:rPr>
          <w:rFonts w:ascii="Times New Roman" w:hAnsi="Times New Roman"/>
          <w:sz w:val="24"/>
        </w:rPr>
        <w:t>[…]</w:t>
      </w:r>
      <w:r w:rsidR="00D37025" w:rsidRPr="0088169A">
        <w:rPr>
          <w:rFonts w:ascii="Times New Roman" w:hAnsi="Times New Roman"/>
          <w:sz w:val="24"/>
        </w:rPr>
        <w:t xml:space="preserve"> una selección y ordenación </w:t>
      </w:r>
      <w:r w:rsidR="00D37025" w:rsidRPr="0088169A">
        <w:rPr>
          <w:rFonts w:ascii="Times New Roman" w:hAnsi="Times New Roman"/>
          <w:sz w:val="24"/>
        </w:rPr>
        <w:lastRenderedPageBreak/>
        <w:t xml:space="preserve">de contenidos académicos y </w:t>
      </w:r>
      <w:r w:rsidR="0070733E" w:rsidRPr="0088169A">
        <w:rPr>
          <w:rFonts w:ascii="Times New Roman" w:hAnsi="Times New Roman"/>
          <w:sz w:val="24"/>
        </w:rPr>
        <w:t xml:space="preserve">[…] </w:t>
      </w:r>
      <w:r w:rsidR="00D37025" w:rsidRPr="0088169A">
        <w:rPr>
          <w:rFonts w:ascii="Times New Roman" w:hAnsi="Times New Roman"/>
          <w:sz w:val="24"/>
        </w:rPr>
        <w:t>una oferta didáctica</w:t>
      </w:r>
      <w:r w:rsidR="00F41806">
        <w:rPr>
          <w:rFonts w:ascii="Times New Roman" w:hAnsi="Times New Roman"/>
          <w:sz w:val="24"/>
        </w:rPr>
        <w:t>;</w:t>
      </w:r>
      <w:r w:rsidR="00D37025" w:rsidRPr="0088169A">
        <w:rPr>
          <w:rFonts w:ascii="Times New Roman" w:hAnsi="Times New Roman"/>
          <w:sz w:val="24"/>
        </w:rPr>
        <w:t xml:space="preserve"> esto es, cómo van a ser trabajados esos contenidos y cómo van a ser evaluados los estudiantes</w:t>
      </w:r>
      <w:r w:rsidR="0057008D">
        <w:rPr>
          <w:rFonts w:ascii="Times New Roman" w:hAnsi="Times New Roman"/>
          <w:sz w:val="24"/>
        </w:rPr>
        <w:t>”</w:t>
      </w:r>
      <w:r w:rsidR="0070733E" w:rsidRPr="0088169A">
        <w:rPr>
          <w:rFonts w:ascii="Times New Roman" w:hAnsi="Times New Roman"/>
          <w:sz w:val="24"/>
        </w:rPr>
        <w:t>.</w:t>
      </w:r>
    </w:p>
    <w:p w14:paraId="3BF9BC1B" w14:textId="5370005E" w:rsidR="00BE674C" w:rsidRPr="0088169A" w:rsidRDefault="00F41806" w:rsidP="0088169A">
      <w:pPr>
        <w:ind w:firstLine="709"/>
        <w:rPr>
          <w:rFonts w:ascii="Times New Roman" w:hAnsi="Times New Roman"/>
          <w:sz w:val="24"/>
        </w:rPr>
      </w:pPr>
      <w:r>
        <w:rPr>
          <w:rFonts w:ascii="Times New Roman" w:hAnsi="Times New Roman"/>
          <w:sz w:val="24"/>
        </w:rPr>
        <w:t>Para</w:t>
      </w:r>
      <w:r w:rsidR="00BE674C" w:rsidRPr="0088169A">
        <w:rPr>
          <w:rFonts w:ascii="Times New Roman" w:hAnsi="Times New Roman"/>
          <w:sz w:val="24"/>
        </w:rPr>
        <w:t xml:space="preserve"> </w:t>
      </w:r>
      <w:r w:rsidR="0001160B" w:rsidRPr="0088169A">
        <w:rPr>
          <w:rFonts w:ascii="Times New Roman" w:hAnsi="Times New Roman"/>
          <w:sz w:val="24"/>
        </w:rPr>
        <w:t>Zabalza (2003), la guía docente es un recurso de planificación a nivel micro (de asignatura</w:t>
      </w:r>
      <w:r w:rsidR="002643A6">
        <w:rPr>
          <w:rFonts w:ascii="Times New Roman" w:hAnsi="Times New Roman"/>
          <w:sz w:val="24"/>
        </w:rPr>
        <w:t>,</w:t>
      </w:r>
      <w:r w:rsidR="0001160B" w:rsidRPr="0088169A">
        <w:rPr>
          <w:rFonts w:ascii="Times New Roman" w:hAnsi="Times New Roman"/>
          <w:sz w:val="24"/>
        </w:rPr>
        <w:t xml:space="preserve"> no de titulación) cuyo objetivo prioritario es informar y orientar a los estudiantes </w:t>
      </w:r>
      <w:r w:rsidR="00BE674C" w:rsidRPr="0088169A">
        <w:rPr>
          <w:rFonts w:ascii="Times New Roman" w:hAnsi="Times New Roman"/>
          <w:sz w:val="24"/>
        </w:rPr>
        <w:t>acerca de</w:t>
      </w:r>
      <w:r w:rsidR="0001160B" w:rsidRPr="0088169A">
        <w:rPr>
          <w:rFonts w:ascii="Times New Roman" w:hAnsi="Times New Roman"/>
          <w:sz w:val="24"/>
        </w:rPr>
        <w:t xml:space="preserve">l proceso de estudio. </w:t>
      </w:r>
      <w:r w:rsidR="00AE0BF3">
        <w:rPr>
          <w:rFonts w:ascii="Times New Roman" w:hAnsi="Times New Roman"/>
          <w:sz w:val="24"/>
        </w:rPr>
        <w:t xml:space="preserve">García (2014, p.3) entiende la guía docente “como el documento que orienta el estudio, acercando a los procesos cognitivos del alumno el material didáctico, con el fin de que pueda trabarlo de manera autónoma”. </w:t>
      </w:r>
      <w:r w:rsidR="0001160B" w:rsidRPr="0088169A">
        <w:rPr>
          <w:rFonts w:ascii="Times New Roman" w:hAnsi="Times New Roman"/>
          <w:sz w:val="24"/>
        </w:rPr>
        <w:t xml:space="preserve">Esta planificación </w:t>
      </w:r>
      <w:r w:rsidR="0088169A" w:rsidRPr="0088169A">
        <w:rPr>
          <w:rFonts w:ascii="Times New Roman" w:hAnsi="Times New Roman"/>
          <w:sz w:val="24"/>
        </w:rPr>
        <w:t xml:space="preserve">requiere de un cuidadoso proceso de selección de contenidos para que el </w:t>
      </w:r>
      <w:r w:rsidR="000D066A" w:rsidRPr="0088169A">
        <w:rPr>
          <w:rFonts w:ascii="Times New Roman" w:hAnsi="Times New Roman"/>
          <w:sz w:val="24"/>
        </w:rPr>
        <w:t>estudiante alcance los aprendizajes esperados (Salinas y Cotillas, 2005).</w:t>
      </w:r>
      <w:r w:rsidR="00BE674C" w:rsidRPr="0088169A">
        <w:rPr>
          <w:rFonts w:ascii="Times New Roman" w:hAnsi="Times New Roman"/>
          <w:sz w:val="24"/>
        </w:rPr>
        <w:t xml:space="preserve"> Por tanto, en la guía docente se detallan </w:t>
      </w:r>
      <w:r w:rsidR="00A85DF0" w:rsidRPr="0088169A">
        <w:rPr>
          <w:rFonts w:ascii="Times New Roman" w:hAnsi="Times New Roman"/>
          <w:sz w:val="24"/>
        </w:rPr>
        <w:t xml:space="preserve">los elementos relevantes de una asignatura. </w:t>
      </w:r>
      <w:r w:rsidR="00855BDD" w:rsidRPr="0088169A">
        <w:rPr>
          <w:rFonts w:ascii="Times New Roman" w:hAnsi="Times New Roman"/>
          <w:sz w:val="24"/>
        </w:rPr>
        <w:t>En palabras de García y Deltell (2012, p.</w:t>
      </w:r>
      <w:r w:rsidR="000459A0">
        <w:rPr>
          <w:rFonts w:ascii="Times New Roman" w:hAnsi="Times New Roman"/>
          <w:sz w:val="24"/>
        </w:rPr>
        <w:t xml:space="preserve"> </w:t>
      </w:r>
      <w:r w:rsidR="00855BDD" w:rsidRPr="0088169A">
        <w:rPr>
          <w:rFonts w:ascii="Times New Roman" w:hAnsi="Times New Roman"/>
          <w:sz w:val="24"/>
        </w:rPr>
        <w:t xml:space="preserve">358) es el “eje vertebral del modelo formativo a desarrollar”. </w:t>
      </w:r>
      <w:r w:rsidR="00A85DF0" w:rsidRPr="0088169A">
        <w:rPr>
          <w:rFonts w:ascii="Times New Roman" w:hAnsi="Times New Roman"/>
          <w:sz w:val="24"/>
        </w:rPr>
        <w:t xml:space="preserve">Aparecen descritos los objetivos formativos, las competencias que se adquieren, el programa, la metodología, la bibliografía y el catálogo de técnicas docentes, de actividades académicas y de métodos de evaluación. </w:t>
      </w:r>
    </w:p>
    <w:p w14:paraId="18928927" w14:textId="463DD5A8" w:rsidR="00A85DF0" w:rsidRPr="0088169A" w:rsidRDefault="00A85DF0" w:rsidP="00855BDD">
      <w:pPr>
        <w:ind w:firstLine="709"/>
        <w:rPr>
          <w:rFonts w:ascii="Times New Roman" w:hAnsi="Times New Roman"/>
          <w:sz w:val="24"/>
        </w:rPr>
      </w:pPr>
      <w:r w:rsidRPr="0088169A">
        <w:rPr>
          <w:rFonts w:ascii="Times New Roman" w:hAnsi="Times New Roman"/>
          <w:sz w:val="24"/>
        </w:rPr>
        <w:t xml:space="preserve">El concepto de guía docente, como muchos otros referentes del modelo formativo universitario, ha sufrido cambios con la adaptación al modelo del EEES. Para el profesorado, </w:t>
      </w:r>
      <w:r w:rsidR="00BE674C" w:rsidRPr="0088169A">
        <w:rPr>
          <w:rFonts w:ascii="Times New Roman" w:hAnsi="Times New Roman"/>
          <w:sz w:val="24"/>
        </w:rPr>
        <w:t xml:space="preserve">al elaborar </w:t>
      </w:r>
      <w:r w:rsidRPr="0088169A">
        <w:rPr>
          <w:rFonts w:ascii="Times New Roman" w:hAnsi="Times New Roman"/>
          <w:sz w:val="24"/>
        </w:rPr>
        <w:t xml:space="preserve">la guía docente </w:t>
      </w:r>
      <w:r w:rsidR="00BE674C" w:rsidRPr="0088169A">
        <w:rPr>
          <w:rFonts w:ascii="Times New Roman" w:hAnsi="Times New Roman"/>
          <w:sz w:val="24"/>
        </w:rPr>
        <w:t xml:space="preserve">debe </w:t>
      </w:r>
      <w:r w:rsidRPr="0088169A">
        <w:rPr>
          <w:rFonts w:ascii="Times New Roman" w:hAnsi="Times New Roman"/>
          <w:sz w:val="24"/>
        </w:rPr>
        <w:t>relacionar los objetivos del aprendizaje con las competencias que se pretend</w:t>
      </w:r>
      <w:r w:rsidR="00D92B58" w:rsidRPr="0088169A">
        <w:rPr>
          <w:rFonts w:ascii="Times New Roman" w:hAnsi="Times New Roman"/>
          <w:sz w:val="24"/>
        </w:rPr>
        <w:t>en</w:t>
      </w:r>
      <w:r w:rsidRPr="0088169A">
        <w:rPr>
          <w:rFonts w:ascii="Times New Roman" w:hAnsi="Times New Roman"/>
          <w:sz w:val="24"/>
        </w:rPr>
        <w:t xml:space="preserve"> desarrollar </w:t>
      </w:r>
      <w:r w:rsidR="00BE674C" w:rsidRPr="0088169A">
        <w:rPr>
          <w:rFonts w:ascii="Times New Roman" w:hAnsi="Times New Roman"/>
          <w:sz w:val="24"/>
        </w:rPr>
        <w:t xml:space="preserve">en una </w:t>
      </w:r>
      <w:r w:rsidR="00D92B58" w:rsidRPr="0088169A">
        <w:rPr>
          <w:rFonts w:ascii="Times New Roman" w:hAnsi="Times New Roman"/>
          <w:sz w:val="24"/>
        </w:rPr>
        <w:t>materia</w:t>
      </w:r>
      <w:r w:rsidRPr="0088169A">
        <w:rPr>
          <w:rFonts w:ascii="Times New Roman" w:hAnsi="Times New Roman"/>
          <w:sz w:val="24"/>
        </w:rPr>
        <w:t xml:space="preserve">, a través de </w:t>
      </w:r>
      <w:r w:rsidR="00BE674C" w:rsidRPr="0088169A">
        <w:rPr>
          <w:rFonts w:ascii="Times New Roman" w:hAnsi="Times New Roman"/>
          <w:sz w:val="24"/>
        </w:rPr>
        <w:t>determinadas</w:t>
      </w:r>
      <w:r w:rsidRPr="0088169A">
        <w:rPr>
          <w:rFonts w:ascii="Times New Roman" w:hAnsi="Times New Roman"/>
          <w:sz w:val="24"/>
        </w:rPr>
        <w:t xml:space="preserve"> actividades formativas y empleando la evaluación como elemento de seguimiento y control del aprendizaje. Esta planificación se ocupa de aspectos como la adecuada distribución de la carga de trabajo del alumnado, la organización temporal de las actividades formativas, incluyendo entre éstas las pruebas de evaluación, los materiales docentes y los contenidos, los plazos de entrega de trabajos e informes, la metodología de evaluación y todo lo que el estudiante necesita conocer para superar una asignatura. </w:t>
      </w:r>
      <w:r w:rsidR="000459A0">
        <w:rPr>
          <w:rFonts w:ascii="Times New Roman" w:hAnsi="Times New Roman"/>
          <w:sz w:val="24"/>
        </w:rPr>
        <w:t xml:space="preserve">Desde esta perspectiva, la guía docente es una herramienta fundamental para la orientación y la tutoría académica que realiza el profesorado en las materias que imparte. </w:t>
      </w:r>
      <w:r w:rsidRPr="0088169A">
        <w:rPr>
          <w:rFonts w:ascii="Times New Roman" w:hAnsi="Times New Roman"/>
          <w:sz w:val="24"/>
        </w:rPr>
        <w:t xml:space="preserve">Para los estudiantes, la guía docente es un documento de referencia, que les permite optimizar su trabajo y obtener el máximo </w:t>
      </w:r>
      <w:r w:rsidRPr="00FB0642">
        <w:rPr>
          <w:rFonts w:ascii="Times New Roman" w:hAnsi="Times New Roman"/>
          <w:sz w:val="24"/>
        </w:rPr>
        <w:t xml:space="preserve">aprovechamiento del proceso de enseñanza-aprendizaje. </w:t>
      </w:r>
      <w:r w:rsidR="00BE674C" w:rsidRPr="00FB0642">
        <w:rPr>
          <w:rFonts w:ascii="Times New Roman" w:hAnsi="Times New Roman"/>
          <w:sz w:val="24"/>
        </w:rPr>
        <w:t xml:space="preserve">En definitiva, es una guía para el aprendizaje </w:t>
      </w:r>
      <w:r w:rsidR="00FB0642" w:rsidRPr="00FB0642">
        <w:rPr>
          <w:rFonts w:ascii="Times New Roman" w:hAnsi="Times New Roman"/>
          <w:sz w:val="24"/>
        </w:rPr>
        <w:t>con</w:t>
      </w:r>
      <w:r w:rsidR="00BE674C" w:rsidRPr="00FB0642">
        <w:rPr>
          <w:rFonts w:ascii="Times New Roman" w:hAnsi="Times New Roman"/>
          <w:sz w:val="24"/>
        </w:rPr>
        <w:t xml:space="preserve"> relación a la propuesta de enseñanza en una asignatura. </w:t>
      </w:r>
      <w:r w:rsidR="00034244" w:rsidRPr="00FB0642">
        <w:rPr>
          <w:rFonts w:ascii="Times New Roman" w:hAnsi="Times New Roman"/>
          <w:sz w:val="24"/>
        </w:rPr>
        <w:t xml:space="preserve">Salinas y Cotillas (2005) resumen las </w:t>
      </w:r>
      <w:r w:rsidRPr="00FB0642">
        <w:rPr>
          <w:rFonts w:ascii="Times New Roman" w:hAnsi="Times New Roman"/>
          <w:sz w:val="24"/>
        </w:rPr>
        <w:t>funciones</w:t>
      </w:r>
      <w:r w:rsidRPr="0088169A">
        <w:rPr>
          <w:rFonts w:ascii="Times New Roman" w:hAnsi="Times New Roman"/>
          <w:sz w:val="24"/>
        </w:rPr>
        <w:t xml:space="preserve"> </w:t>
      </w:r>
      <w:r w:rsidR="00D92B58" w:rsidRPr="0088169A">
        <w:rPr>
          <w:rFonts w:ascii="Times New Roman" w:hAnsi="Times New Roman"/>
          <w:sz w:val="24"/>
        </w:rPr>
        <w:t xml:space="preserve">principales </w:t>
      </w:r>
      <w:r w:rsidRPr="0088169A">
        <w:rPr>
          <w:rFonts w:ascii="Times New Roman" w:hAnsi="Times New Roman"/>
          <w:sz w:val="24"/>
        </w:rPr>
        <w:t>de las guías docentes</w:t>
      </w:r>
      <w:r w:rsidR="00034244" w:rsidRPr="0088169A">
        <w:rPr>
          <w:rFonts w:ascii="Times New Roman" w:hAnsi="Times New Roman"/>
          <w:sz w:val="24"/>
        </w:rPr>
        <w:t>:</w:t>
      </w:r>
    </w:p>
    <w:p w14:paraId="48A463FA" w14:textId="302226BF" w:rsidR="00A85DF0" w:rsidRPr="0088169A" w:rsidRDefault="00A85DF0" w:rsidP="00855BDD">
      <w:pPr>
        <w:pStyle w:val="Prrafodelista"/>
        <w:numPr>
          <w:ilvl w:val="0"/>
          <w:numId w:val="22"/>
        </w:numPr>
        <w:ind w:left="709" w:hanging="425"/>
        <w:rPr>
          <w:rFonts w:ascii="Times New Roman" w:hAnsi="Times New Roman"/>
          <w:sz w:val="24"/>
        </w:rPr>
      </w:pPr>
      <w:r w:rsidRPr="0088169A">
        <w:rPr>
          <w:rFonts w:ascii="Times New Roman" w:hAnsi="Times New Roman"/>
          <w:sz w:val="24"/>
        </w:rPr>
        <w:t xml:space="preserve">Especificar la oferta docente referida a una asignatura o módulo. Concretamente, es la forma en la que la </w:t>
      </w:r>
      <w:r w:rsidR="00D92B58" w:rsidRPr="0088169A">
        <w:rPr>
          <w:rFonts w:ascii="Times New Roman" w:hAnsi="Times New Roman"/>
          <w:sz w:val="24"/>
        </w:rPr>
        <w:t>u</w:t>
      </w:r>
      <w:r w:rsidRPr="0088169A">
        <w:rPr>
          <w:rFonts w:ascii="Times New Roman" w:hAnsi="Times New Roman"/>
          <w:sz w:val="24"/>
        </w:rPr>
        <w:t>niversidad hace pública su oferta formativa, tanto en lo que se refiere a los contenidos disciplinares de la asignatura, como a los resultados esperados del aprendizaje, así como las actividades de enseñanza-aprendizaje y los criterios de evaluación.</w:t>
      </w:r>
    </w:p>
    <w:p w14:paraId="659C3A3F" w14:textId="61AE5C8B" w:rsidR="00A85DF0" w:rsidRPr="0088169A" w:rsidRDefault="00A85DF0" w:rsidP="00855BDD">
      <w:pPr>
        <w:pStyle w:val="Prrafodelista"/>
        <w:numPr>
          <w:ilvl w:val="0"/>
          <w:numId w:val="22"/>
        </w:numPr>
        <w:ind w:left="709" w:hanging="425"/>
        <w:rPr>
          <w:rFonts w:ascii="Times New Roman" w:hAnsi="Times New Roman"/>
          <w:sz w:val="24"/>
        </w:rPr>
      </w:pPr>
      <w:r w:rsidRPr="0088169A">
        <w:rPr>
          <w:rFonts w:ascii="Times New Roman" w:hAnsi="Times New Roman"/>
          <w:sz w:val="24"/>
        </w:rPr>
        <w:t>Informar al alumnado de lo que se pretende que aprenda, cómo se va a desarrollar el proceso de enseñanza-aprendizaje, bajo qué condiciones y cómo será evaluado.</w:t>
      </w:r>
    </w:p>
    <w:p w14:paraId="35736737" w14:textId="5E18A72E" w:rsidR="00A85DF0" w:rsidRPr="0088169A" w:rsidRDefault="00A85DF0" w:rsidP="00855BDD">
      <w:pPr>
        <w:pStyle w:val="Prrafodelista"/>
        <w:numPr>
          <w:ilvl w:val="0"/>
          <w:numId w:val="22"/>
        </w:numPr>
        <w:ind w:left="709" w:hanging="425"/>
        <w:rPr>
          <w:rFonts w:ascii="Times New Roman" w:hAnsi="Times New Roman"/>
          <w:sz w:val="24"/>
        </w:rPr>
      </w:pPr>
      <w:r w:rsidRPr="0088169A">
        <w:rPr>
          <w:rFonts w:ascii="Times New Roman" w:hAnsi="Times New Roman"/>
          <w:sz w:val="24"/>
        </w:rPr>
        <w:t>Recoger el compromiso del personal docente sobre diferentes cuestiones, como son los contenidos, los métodos docentes y de evaluación, etc. que se irán desarrollando a lo largo de un curso. Además, es un documento público en el que se hace referencia a la estructura de una oferta académica particular</w:t>
      </w:r>
      <w:r w:rsidR="0001160B" w:rsidRPr="0088169A">
        <w:rPr>
          <w:rFonts w:ascii="Times New Roman" w:hAnsi="Times New Roman"/>
          <w:sz w:val="24"/>
        </w:rPr>
        <w:t>.</w:t>
      </w:r>
    </w:p>
    <w:p w14:paraId="274B8B23" w14:textId="053DD2E1" w:rsidR="00A85DF0" w:rsidRPr="0088169A" w:rsidRDefault="00A85DF0" w:rsidP="00855BDD">
      <w:pPr>
        <w:pStyle w:val="Prrafodelista"/>
        <w:numPr>
          <w:ilvl w:val="0"/>
          <w:numId w:val="22"/>
        </w:numPr>
        <w:ind w:left="709" w:hanging="425"/>
        <w:rPr>
          <w:rFonts w:ascii="Times New Roman" w:hAnsi="Times New Roman"/>
          <w:sz w:val="24"/>
        </w:rPr>
      </w:pPr>
      <w:r w:rsidRPr="0088169A">
        <w:rPr>
          <w:rFonts w:ascii="Times New Roman" w:hAnsi="Times New Roman"/>
          <w:sz w:val="24"/>
        </w:rPr>
        <w:t>Garantizar que la materia cumple con los requisitos y funciones que le son asignadas en el plan de estudios.</w:t>
      </w:r>
    </w:p>
    <w:p w14:paraId="39C08914" w14:textId="217D2F35" w:rsidR="00855BDD" w:rsidRPr="0088169A" w:rsidRDefault="00A539B8" w:rsidP="00855BDD">
      <w:pPr>
        <w:ind w:firstLine="709"/>
        <w:rPr>
          <w:rFonts w:ascii="Times New Roman" w:hAnsi="Times New Roman"/>
          <w:sz w:val="24"/>
        </w:rPr>
      </w:pPr>
      <w:r w:rsidRPr="00FB0642">
        <w:rPr>
          <w:rFonts w:ascii="Times New Roman" w:hAnsi="Times New Roman"/>
          <w:sz w:val="24"/>
        </w:rPr>
        <w:t xml:space="preserve">En el </w:t>
      </w:r>
      <w:r w:rsidR="007076AC">
        <w:rPr>
          <w:rFonts w:ascii="Times New Roman" w:hAnsi="Times New Roman"/>
          <w:sz w:val="24"/>
        </w:rPr>
        <w:t>estudio</w:t>
      </w:r>
      <w:r w:rsidRPr="00FB0642">
        <w:rPr>
          <w:rFonts w:ascii="Times New Roman" w:hAnsi="Times New Roman"/>
          <w:sz w:val="24"/>
        </w:rPr>
        <w:t xml:space="preserve"> de</w:t>
      </w:r>
      <w:r w:rsidR="00855BDD" w:rsidRPr="00FB0642">
        <w:rPr>
          <w:rFonts w:ascii="Times New Roman" w:hAnsi="Times New Roman"/>
          <w:sz w:val="24"/>
        </w:rPr>
        <w:t xml:space="preserve"> García y Deltell (2012), se concluyó, en primer lugar, que se trata de un recurso formativo que ofrece pautas y orientaciones para que el alumnado sea capaz de enfrentar adecuadamente su proceso </w:t>
      </w:r>
      <w:r w:rsidR="00855BDD" w:rsidRPr="0088169A">
        <w:rPr>
          <w:rFonts w:ascii="Times New Roman" w:hAnsi="Times New Roman"/>
          <w:sz w:val="24"/>
        </w:rPr>
        <w:t xml:space="preserve">de aprendizaje; por otra parte, que el estudiante debe asumir su papel protagonista y, en este rol, la guía docente ocupa un importante lugar para </w:t>
      </w:r>
      <w:r w:rsidR="008C174C">
        <w:rPr>
          <w:rFonts w:ascii="Times New Roman" w:hAnsi="Times New Roman"/>
          <w:sz w:val="24"/>
        </w:rPr>
        <w:t>orientar</w:t>
      </w:r>
      <w:r w:rsidR="00855BDD" w:rsidRPr="0088169A">
        <w:rPr>
          <w:rFonts w:ascii="Times New Roman" w:hAnsi="Times New Roman"/>
          <w:sz w:val="24"/>
        </w:rPr>
        <w:t xml:space="preserve"> su trayectoria académica; y, finalmente, que docente y alumno deben asumir que la formación es un proceso compartido entre ambos. </w:t>
      </w:r>
    </w:p>
    <w:p w14:paraId="00E2364C" w14:textId="4089788F" w:rsidR="00F006E8" w:rsidRDefault="00034244" w:rsidP="00855BDD">
      <w:pPr>
        <w:ind w:firstLine="709"/>
        <w:rPr>
          <w:rFonts w:ascii="Times New Roman" w:hAnsi="Times New Roman"/>
          <w:sz w:val="24"/>
        </w:rPr>
      </w:pPr>
      <w:r w:rsidRPr="0088169A">
        <w:rPr>
          <w:rFonts w:ascii="Times New Roman" w:hAnsi="Times New Roman"/>
          <w:sz w:val="24"/>
        </w:rPr>
        <w:lastRenderedPageBreak/>
        <w:t xml:space="preserve">Aunque la </w:t>
      </w:r>
      <w:r w:rsidR="00A85DF0" w:rsidRPr="0088169A">
        <w:rPr>
          <w:rFonts w:ascii="Times New Roman" w:hAnsi="Times New Roman"/>
          <w:sz w:val="24"/>
        </w:rPr>
        <w:t xml:space="preserve">guía docente </w:t>
      </w:r>
      <w:r w:rsidR="00605836" w:rsidRPr="0088169A">
        <w:rPr>
          <w:rFonts w:ascii="Times New Roman" w:hAnsi="Times New Roman"/>
          <w:sz w:val="24"/>
        </w:rPr>
        <w:t>se presenta como</w:t>
      </w:r>
      <w:r w:rsidR="00A85DF0" w:rsidRPr="0088169A">
        <w:rPr>
          <w:rFonts w:ascii="Times New Roman" w:hAnsi="Times New Roman"/>
          <w:sz w:val="24"/>
        </w:rPr>
        <w:t xml:space="preserve"> </w:t>
      </w:r>
      <w:r w:rsidR="0088576B">
        <w:rPr>
          <w:rFonts w:ascii="Times New Roman" w:hAnsi="Times New Roman"/>
          <w:sz w:val="24"/>
        </w:rPr>
        <w:t>un elemento</w:t>
      </w:r>
      <w:r w:rsidR="00A85DF0" w:rsidRPr="0088169A">
        <w:rPr>
          <w:rFonts w:ascii="Times New Roman" w:hAnsi="Times New Roman"/>
          <w:sz w:val="24"/>
        </w:rPr>
        <w:t xml:space="preserve"> fundamental en el modelo formativo actual de la enseñanza universitaria</w:t>
      </w:r>
      <w:r w:rsidRPr="0088169A">
        <w:rPr>
          <w:rFonts w:ascii="Times New Roman" w:hAnsi="Times New Roman"/>
          <w:sz w:val="24"/>
        </w:rPr>
        <w:t xml:space="preserve">, se viene cuestionando si </w:t>
      </w:r>
      <w:r w:rsidR="00605836" w:rsidRPr="0088169A">
        <w:rPr>
          <w:rFonts w:ascii="Times New Roman" w:hAnsi="Times New Roman"/>
          <w:sz w:val="24"/>
        </w:rPr>
        <w:t xml:space="preserve">se trata de un </w:t>
      </w:r>
      <w:r w:rsidR="00A85DF0" w:rsidRPr="0088169A">
        <w:rPr>
          <w:rFonts w:ascii="Times New Roman" w:hAnsi="Times New Roman"/>
          <w:sz w:val="24"/>
        </w:rPr>
        <w:t xml:space="preserve">recurso de utilidad </w:t>
      </w:r>
      <w:r w:rsidR="00605836" w:rsidRPr="0088169A">
        <w:rPr>
          <w:rFonts w:ascii="Times New Roman" w:hAnsi="Times New Roman"/>
          <w:sz w:val="24"/>
        </w:rPr>
        <w:t xml:space="preserve">para </w:t>
      </w:r>
      <w:r w:rsidR="00D92B58" w:rsidRPr="0088169A">
        <w:rPr>
          <w:rFonts w:ascii="Times New Roman" w:hAnsi="Times New Roman"/>
          <w:sz w:val="24"/>
        </w:rPr>
        <w:t>guiar el proceso de enseñanza y aprendizaje de las materias</w:t>
      </w:r>
      <w:r w:rsidR="00605836" w:rsidRPr="0088169A">
        <w:rPr>
          <w:rFonts w:ascii="Times New Roman" w:hAnsi="Times New Roman"/>
          <w:sz w:val="24"/>
        </w:rPr>
        <w:t xml:space="preserve"> </w:t>
      </w:r>
      <w:r w:rsidR="00A85DF0" w:rsidRPr="0088169A">
        <w:rPr>
          <w:rFonts w:ascii="Times New Roman" w:hAnsi="Times New Roman"/>
          <w:sz w:val="24"/>
        </w:rPr>
        <w:t>o</w:t>
      </w:r>
      <w:r w:rsidR="00605836" w:rsidRPr="0088169A">
        <w:rPr>
          <w:rFonts w:ascii="Times New Roman" w:hAnsi="Times New Roman"/>
          <w:sz w:val="24"/>
        </w:rPr>
        <w:t xml:space="preserve">, </w:t>
      </w:r>
      <w:r w:rsidR="00D92B58" w:rsidRPr="0088169A">
        <w:rPr>
          <w:rFonts w:ascii="Times New Roman" w:hAnsi="Times New Roman"/>
          <w:sz w:val="24"/>
        </w:rPr>
        <w:t xml:space="preserve">si </w:t>
      </w:r>
      <w:r w:rsidR="00605836" w:rsidRPr="0088169A">
        <w:rPr>
          <w:rFonts w:ascii="Times New Roman" w:hAnsi="Times New Roman"/>
          <w:sz w:val="24"/>
        </w:rPr>
        <w:t>por el contrario, es una herramienta que cumple</w:t>
      </w:r>
      <w:r w:rsidR="00B5448B" w:rsidRPr="0088169A">
        <w:rPr>
          <w:rFonts w:ascii="Times New Roman" w:hAnsi="Times New Roman"/>
          <w:sz w:val="24"/>
        </w:rPr>
        <w:t xml:space="preserve"> </w:t>
      </w:r>
      <w:r w:rsidR="00D83C96" w:rsidRPr="0088169A">
        <w:rPr>
          <w:rFonts w:ascii="Times New Roman" w:hAnsi="Times New Roman"/>
          <w:sz w:val="24"/>
        </w:rPr>
        <w:t xml:space="preserve">únicamente con </w:t>
      </w:r>
      <w:r w:rsidR="00605836" w:rsidRPr="0088169A">
        <w:rPr>
          <w:rFonts w:ascii="Times New Roman" w:hAnsi="Times New Roman"/>
          <w:sz w:val="24"/>
        </w:rPr>
        <w:t>una fu</w:t>
      </w:r>
      <w:r w:rsidR="00A85DF0" w:rsidRPr="0088169A">
        <w:rPr>
          <w:rFonts w:ascii="Times New Roman" w:hAnsi="Times New Roman"/>
          <w:sz w:val="24"/>
        </w:rPr>
        <w:t xml:space="preserve">nción administrativa que </w:t>
      </w:r>
      <w:r w:rsidR="00605836" w:rsidRPr="0088169A">
        <w:rPr>
          <w:rFonts w:ascii="Times New Roman" w:hAnsi="Times New Roman"/>
          <w:sz w:val="24"/>
        </w:rPr>
        <w:t>emplean las instituciones de educación superior</w:t>
      </w:r>
      <w:r w:rsidR="00A85DF0" w:rsidRPr="0088169A">
        <w:rPr>
          <w:rFonts w:ascii="Times New Roman" w:hAnsi="Times New Roman"/>
          <w:sz w:val="24"/>
        </w:rPr>
        <w:t xml:space="preserve">, </w:t>
      </w:r>
      <w:r w:rsidR="0088576B">
        <w:rPr>
          <w:rFonts w:ascii="Times New Roman" w:hAnsi="Times New Roman"/>
          <w:sz w:val="24"/>
        </w:rPr>
        <w:t>para cumplir con</w:t>
      </w:r>
      <w:r w:rsidR="00605836" w:rsidRPr="0088169A">
        <w:rPr>
          <w:rFonts w:ascii="Times New Roman" w:hAnsi="Times New Roman"/>
          <w:sz w:val="24"/>
        </w:rPr>
        <w:t xml:space="preserve"> los procesos de </w:t>
      </w:r>
      <w:r w:rsidR="008941B7">
        <w:rPr>
          <w:rFonts w:ascii="Times New Roman" w:hAnsi="Times New Roman"/>
          <w:sz w:val="24"/>
        </w:rPr>
        <w:t xml:space="preserve">verificación y </w:t>
      </w:r>
      <w:r w:rsidR="00605836" w:rsidRPr="0088169A">
        <w:rPr>
          <w:rFonts w:ascii="Times New Roman" w:hAnsi="Times New Roman"/>
          <w:sz w:val="24"/>
        </w:rPr>
        <w:t>acreditación exigidos por la</w:t>
      </w:r>
      <w:r w:rsidR="008941B7">
        <w:rPr>
          <w:rFonts w:ascii="Times New Roman" w:hAnsi="Times New Roman"/>
          <w:sz w:val="24"/>
        </w:rPr>
        <w:t xml:space="preserve"> </w:t>
      </w:r>
      <w:r w:rsidR="008941B7" w:rsidRPr="0088169A">
        <w:rPr>
          <w:rFonts w:ascii="Times New Roman" w:hAnsi="Times New Roman"/>
          <w:sz w:val="24"/>
        </w:rPr>
        <w:t xml:space="preserve">Agencia Nacional de Evaluación de la Calidad y </w:t>
      </w:r>
      <w:r w:rsidR="008941B7" w:rsidRPr="008941B7">
        <w:rPr>
          <w:rFonts w:ascii="Times New Roman" w:hAnsi="Times New Roman"/>
          <w:sz w:val="24"/>
        </w:rPr>
        <w:t xml:space="preserve">Acreditación (ANECA). </w:t>
      </w:r>
      <w:r w:rsidR="004D549C">
        <w:rPr>
          <w:rFonts w:ascii="Times New Roman" w:hAnsi="Times New Roman"/>
          <w:sz w:val="24"/>
        </w:rPr>
        <w:t xml:space="preserve">Especial relevancia </w:t>
      </w:r>
      <w:r w:rsidR="00F006E8">
        <w:rPr>
          <w:rFonts w:ascii="Times New Roman" w:hAnsi="Times New Roman"/>
          <w:sz w:val="24"/>
        </w:rPr>
        <w:t xml:space="preserve">tiene </w:t>
      </w:r>
      <w:r w:rsidR="004D549C">
        <w:rPr>
          <w:rFonts w:ascii="Times New Roman" w:hAnsi="Times New Roman"/>
          <w:sz w:val="24"/>
        </w:rPr>
        <w:t xml:space="preserve">el </w:t>
      </w:r>
      <w:r w:rsidR="004D549C" w:rsidRPr="004D549C">
        <w:rPr>
          <w:rFonts w:ascii="Times New Roman" w:hAnsi="Times New Roman"/>
          <w:sz w:val="24"/>
        </w:rPr>
        <w:t>programa VERIFICA</w:t>
      </w:r>
      <w:r w:rsidR="008941B7">
        <w:rPr>
          <w:rFonts w:ascii="Times New Roman" w:hAnsi="Times New Roman"/>
          <w:sz w:val="24"/>
        </w:rPr>
        <w:t>,</w:t>
      </w:r>
      <w:r w:rsidR="004D549C" w:rsidRPr="004D549C">
        <w:rPr>
          <w:rFonts w:ascii="Times New Roman" w:hAnsi="Times New Roman"/>
          <w:sz w:val="24"/>
        </w:rPr>
        <w:t xml:space="preserve"> </w:t>
      </w:r>
      <w:r w:rsidR="004D549C">
        <w:rPr>
          <w:rFonts w:ascii="Times New Roman" w:hAnsi="Times New Roman"/>
          <w:sz w:val="24"/>
        </w:rPr>
        <w:t xml:space="preserve">con el </w:t>
      </w:r>
      <w:r w:rsidR="008C174C">
        <w:rPr>
          <w:rFonts w:ascii="Times New Roman" w:hAnsi="Times New Roman"/>
          <w:sz w:val="24"/>
        </w:rPr>
        <w:t xml:space="preserve">que </w:t>
      </w:r>
      <w:r w:rsidR="004D549C">
        <w:rPr>
          <w:rFonts w:ascii="Times New Roman" w:hAnsi="Times New Roman"/>
          <w:sz w:val="24"/>
        </w:rPr>
        <w:t xml:space="preserve">se </w:t>
      </w:r>
      <w:r w:rsidR="004D549C" w:rsidRPr="004D549C">
        <w:rPr>
          <w:rFonts w:ascii="Times New Roman" w:hAnsi="Times New Roman"/>
          <w:sz w:val="24"/>
        </w:rPr>
        <w:t xml:space="preserve">evalúa las </w:t>
      </w:r>
      <w:r w:rsidR="004D549C" w:rsidRPr="00FB0642">
        <w:rPr>
          <w:rFonts w:ascii="Times New Roman" w:hAnsi="Times New Roman"/>
          <w:sz w:val="24"/>
        </w:rPr>
        <w:t xml:space="preserve">propuestas de planes de estudio de títulos diseñados en consonancia con el </w:t>
      </w:r>
      <w:r w:rsidR="008C174C" w:rsidRPr="00FB0642">
        <w:rPr>
          <w:rFonts w:ascii="Times New Roman" w:hAnsi="Times New Roman"/>
          <w:sz w:val="24"/>
        </w:rPr>
        <w:t>EEES</w:t>
      </w:r>
      <w:r w:rsidR="004D549C" w:rsidRPr="00FB0642">
        <w:rPr>
          <w:rFonts w:ascii="Times New Roman" w:hAnsi="Times New Roman"/>
          <w:sz w:val="24"/>
        </w:rPr>
        <w:t xml:space="preserve">. Para ello, las universidades deben presentar una memoria de verificación de cada título, </w:t>
      </w:r>
      <w:r w:rsidR="008941B7" w:rsidRPr="00FB0642">
        <w:rPr>
          <w:rFonts w:ascii="Times New Roman" w:hAnsi="Times New Roman"/>
          <w:sz w:val="24"/>
        </w:rPr>
        <w:t xml:space="preserve">que </w:t>
      </w:r>
      <w:r w:rsidR="00F006E8" w:rsidRPr="00FB0642">
        <w:rPr>
          <w:rFonts w:ascii="Times New Roman" w:hAnsi="Times New Roman"/>
          <w:sz w:val="24"/>
        </w:rPr>
        <w:t xml:space="preserve">debe ajustarse a los criterios y estándares de calidad </w:t>
      </w:r>
      <w:r w:rsidR="00794CBF" w:rsidRPr="00FB0642">
        <w:rPr>
          <w:rFonts w:ascii="Times New Roman" w:hAnsi="Times New Roman"/>
          <w:sz w:val="24"/>
        </w:rPr>
        <w:t xml:space="preserve">de </w:t>
      </w:r>
      <w:r w:rsidR="008941B7" w:rsidRPr="00FB0642">
        <w:rPr>
          <w:rFonts w:ascii="Times New Roman" w:hAnsi="Times New Roman"/>
          <w:sz w:val="24"/>
        </w:rPr>
        <w:t>la ANECA antes de su implantación.</w:t>
      </w:r>
      <w:r w:rsidR="00F006E8" w:rsidRPr="00FB0642">
        <w:rPr>
          <w:rFonts w:ascii="Times New Roman" w:hAnsi="Times New Roman"/>
          <w:sz w:val="24"/>
        </w:rPr>
        <w:t xml:space="preserve"> </w:t>
      </w:r>
      <w:r w:rsidR="00794CBF" w:rsidRPr="00FB0642">
        <w:rPr>
          <w:rFonts w:ascii="Times New Roman" w:hAnsi="Times New Roman"/>
          <w:sz w:val="24"/>
        </w:rPr>
        <w:t>En la m</w:t>
      </w:r>
      <w:r w:rsidR="00F006E8" w:rsidRPr="00FB0642">
        <w:rPr>
          <w:rFonts w:ascii="Times New Roman" w:hAnsi="Times New Roman"/>
          <w:sz w:val="24"/>
        </w:rPr>
        <w:t xml:space="preserve">emoria de verificación </w:t>
      </w:r>
      <w:r w:rsidR="00A539B8" w:rsidRPr="00FB0642">
        <w:rPr>
          <w:rFonts w:ascii="Times New Roman" w:hAnsi="Times New Roman"/>
          <w:sz w:val="24"/>
        </w:rPr>
        <w:t xml:space="preserve">(o, en su caso, su posterior modificación) </w:t>
      </w:r>
      <w:r w:rsidR="00794CBF" w:rsidRPr="00FB0642">
        <w:rPr>
          <w:rFonts w:ascii="Times New Roman" w:hAnsi="Times New Roman"/>
          <w:sz w:val="24"/>
        </w:rPr>
        <w:t>se recoge la descripción y estructura de los títulos universita</w:t>
      </w:r>
      <w:r w:rsidR="00794CBF">
        <w:rPr>
          <w:rFonts w:ascii="Times New Roman" w:hAnsi="Times New Roman"/>
          <w:sz w:val="24"/>
        </w:rPr>
        <w:t>rios oficiales, desde la justificación del título, las competencias, los sistemas de calidad, la planificación de la enseñanza, etc.</w:t>
      </w:r>
    </w:p>
    <w:p w14:paraId="398994E6" w14:textId="14F08145" w:rsidR="00A85DF0" w:rsidRPr="00A85DF0" w:rsidRDefault="00794CBF" w:rsidP="00855BDD">
      <w:pPr>
        <w:ind w:firstLine="709"/>
        <w:rPr>
          <w:rFonts w:ascii="Times New Roman" w:hAnsi="Times New Roman"/>
          <w:sz w:val="24"/>
        </w:rPr>
      </w:pPr>
      <w:r>
        <w:rPr>
          <w:rFonts w:ascii="Times New Roman" w:hAnsi="Times New Roman"/>
          <w:sz w:val="24"/>
        </w:rPr>
        <w:t>P</w:t>
      </w:r>
      <w:r w:rsidR="00D92B58" w:rsidRPr="0088169A">
        <w:rPr>
          <w:rFonts w:ascii="Times New Roman" w:hAnsi="Times New Roman"/>
          <w:sz w:val="24"/>
        </w:rPr>
        <w:t xml:space="preserve">ara analizar el modelo de guía docente que se viene empleando en la Universidad de La Laguna (ULL) tras la </w:t>
      </w:r>
      <w:r w:rsidR="00D92B58" w:rsidRPr="00FB0642">
        <w:rPr>
          <w:rFonts w:ascii="Times New Roman" w:hAnsi="Times New Roman"/>
          <w:sz w:val="24"/>
        </w:rPr>
        <w:t xml:space="preserve">incorporación del modelo del EEES y valorar su importancia como recurso para guiar el proceso formativo del alumnado en el marco de la convergencia europea, se </w:t>
      </w:r>
      <w:r w:rsidR="00A539B8" w:rsidRPr="00FB0642">
        <w:rPr>
          <w:rFonts w:ascii="Times New Roman" w:hAnsi="Times New Roman"/>
          <w:sz w:val="24"/>
        </w:rPr>
        <w:t>realizó</w:t>
      </w:r>
      <w:r w:rsidR="00D92B58" w:rsidRPr="00FB0642">
        <w:rPr>
          <w:rFonts w:ascii="Times New Roman" w:hAnsi="Times New Roman"/>
          <w:sz w:val="24"/>
        </w:rPr>
        <w:t xml:space="preserve"> un estudio a partir de las opiniones de decanos, coordinad</w:t>
      </w:r>
      <w:r w:rsidR="00034244" w:rsidRPr="00FB0642">
        <w:rPr>
          <w:rFonts w:ascii="Times New Roman" w:hAnsi="Times New Roman"/>
          <w:sz w:val="24"/>
        </w:rPr>
        <w:t>ores de calidad, directores de D</w:t>
      </w:r>
      <w:r w:rsidR="00D92B58" w:rsidRPr="00FB0642">
        <w:rPr>
          <w:rFonts w:ascii="Times New Roman" w:hAnsi="Times New Roman"/>
          <w:sz w:val="24"/>
        </w:rPr>
        <w:t>epartamento, profesorado</w:t>
      </w:r>
      <w:r w:rsidR="00624D02" w:rsidRPr="00FB0642">
        <w:rPr>
          <w:rFonts w:ascii="Times New Roman" w:hAnsi="Times New Roman"/>
          <w:sz w:val="24"/>
        </w:rPr>
        <w:t xml:space="preserve">, alumnado, técnicos de evaluación de la calidad y </w:t>
      </w:r>
      <w:r w:rsidRPr="00FB0642">
        <w:rPr>
          <w:rFonts w:ascii="Times New Roman" w:hAnsi="Times New Roman"/>
          <w:sz w:val="24"/>
        </w:rPr>
        <w:t>asesores jurídicos</w:t>
      </w:r>
      <w:r w:rsidR="00624D02">
        <w:rPr>
          <w:rFonts w:ascii="Times New Roman" w:hAnsi="Times New Roman"/>
          <w:sz w:val="24"/>
        </w:rPr>
        <w:t>.</w:t>
      </w:r>
      <w:r w:rsidR="00D92B58">
        <w:rPr>
          <w:rFonts w:ascii="Times New Roman" w:hAnsi="Times New Roman"/>
          <w:sz w:val="24"/>
        </w:rPr>
        <w:t xml:space="preserve"> </w:t>
      </w:r>
      <w:r w:rsidR="00A85DF0" w:rsidRPr="00A85DF0">
        <w:rPr>
          <w:rFonts w:ascii="Times New Roman" w:hAnsi="Times New Roman"/>
          <w:sz w:val="24"/>
        </w:rPr>
        <w:t>De manera más específica, los objetivos del estudio fueron:</w:t>
      </w:r>
    </w:p>
    <w:p w14:paraId="6E220A87" w14:textId="23BD3565" w:rsidR="00A85DF0" w:rsidRPr="00327FFD" w:rsidRDefault="00A85DF0" w:rsidP="00855BDD">
      <w:pPr>
        <w:pStyle w:val="Prrafodelista"/>
        <w:numPr>
          <w:ilvl w:val="0"/>
          <w:numId w:val="24"/>
        </w:numPr>
        <w:spacing w:line="254" w:lineRule="auto"/>
        <w:ind w:left="709" w:hanging="425"/>
        <w:rPr>
          <w:rFonts w:ascii="Times New Roman" w:hAnsi="Times New Roman"/>
          <w:sz w:val="24"/>
        </w:rPr>
      </w:pPr>
      <w:r w:rsidRPr="00327FFD">
        <w:rPr>
          <w:rFonts w:ascii="Times New Roman" w:hAnsi="Times New Roman"/>
          <w:sz w:val="24"/>
        </w:rPr>
        <w:t>Valorar la utilidad que tiene la guía docente como recurso de la enseñanza universitaria.</w:t>
      </w:r>
    </w:p>
    <w:p w14:paraId="2AFAC81E" w14:textId="1066901B" w:rsidR="00A85DF0" w:rsidRPr="00327FFD" w:rsidRDefault="00A85DF0" w:rsidP="00855BDD">
      <w:pPr>
        <w:pStyle w:val="Prrafodelista"/>
        <w:numPr>
          <w:ilvl w:val="0"/>
          <w:numId w:val="24"/>
        </w:numPr>
        <w:spacing w:line="254" w:lineRule="auto"/>
        <w:ind w:left="709" w:hanging="425"/>
        <w:rPr>
          <w:rFonts w:ascii="Times New Roman" w:hAnsi="Times New Roman"/>
          <w:sz w:val="24"/>
        </w:rPr>
      </w:pPr>
      <w:r w:rsidRPr="00327FFD">
        <w:rPr>
          <w:rFonts w:ascii="Times New Roman" w:hAnsi="Times New Roman"/>
          <w:sz w:val="24"/>
        </w:rPr>
        <w:t>Analizar el proceso de diseño de la guía docente.</w:t>
      </w:r>
    </w:p>
    <w:p w14:paraId="71DBF01A" w14:textId="6D95AAD8" w:rsidR="00A85DF0" w:rsidRPr="00327FFD" w:rsidRDefault="00A85DF0" w:rsidP="00855BDD">
      <w:pPr>
        <w:pStyle w:val="Prrafodelista"/>
        <w:numPr>
          <w:ilvl w:val="0"/>
          <w:numId w:val="24"/>
        </w:numPr>
        <w:spacing w:line="254" w:lineRule="auto"/>
        <w:ind w:left="709" w:hanging="425"/>
        <w:rPr>
          <w:rFonts w:ascii="Times New Roman" w:hAnsi="Times New Roman"/>
          <w:sz w:val="24"/>
        </w:rPr>
      </w:pPr>
      <w:r w:rsidRPr="00327FFD">
        <w:rPr>
          <w:rFonts w:ascii="Times New Roman" w:hAnsi="Times New Roman"/>
          <w:sz w:val="24"/>
        </w:rPr>
        <w:t>Valorar el contenido y estructura de la guía docente.</w:t>
      </w:r>
    </w:p>
    <w:p w14:paraId="61C0F29D" w14:textId="71697BCF" w:rsidR="00A85DF0" w:rsidRPr="00327FFD" w:rsidRDefault="00A85DF0" w:rsidP="00855BDD">
      <w:pPr>
        <w:pStyle w:val="Prrafodelista"/>
        <w:numPr>
          <w:ilvl w:val="0"/>
          <w:numId w:val="24"/>
        </w:numPr>
        <w:spacing w:line="254" w:lineRule="auto"/>
        <w:ind w:left="709" w:hanging="425"/>
        <w:rPr>
          <w:rFonts w:ascii="Times New Roman" w:hAnsi="Times New Roman"/>
          <w:sz w:val="24"/>
        </w:rPr>
      </w:pPr>
      <w:r w:rsidRPr="00327FFD">
        <w:rPr>
          <w:rFonts w:ascii="Times New Roman" w:hAnsi="Times New Roman"/>
          <w:sz w:val="24"/>
        </w:rPr>
        <w:t>Valorar el grado de cumplimiento de la propuesta formativa recogida en la guía docente.</w:t>
      </w:r>
    </w:p>
    <w:p w14:paraId="7608242D" w14:textId="77777777" w:rsidR="00A85DF0" w:rsidRPr="008610FC" w:rsidRDefault="00A85DF0" w:rsidP="00855BDD">
      <w:pPr>
        <w:spacing w:line="254" w:lineRule="auto"/>
        <w:ind w:firstLine="709"/>
        <w:rPr>
          <w:rFonts w:ascii="Times New Roman" w:hAnsi="Times New Roman"/>
        </w:rPr>
      </w:pPr>
    </w:p>
    <w:p w14:paraId="6655EC10" w14:textId="6030ECBE" w:rsidR="00CC27AE" w:rsidRPr="00412A91" w:rsidRDefault="00906C5A" w:rsidP="00855BDD">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6EFBF24E" w14:textId="77777777" w:rsidR="00A85DF0" w:rsidRPr="00A85DF0" w:rsidRDefault="00A85DF0" w:rsidP="00855BDD">
      <w:pPr>
        <w:ind w:firstLine="708"/>
        <w:rPr>
          <w:rFonts w:ascii="Times New Roman" w:hAnsi="Times New Roman"/>
          <w:b/>
          <w:i/>
          <w:sz w:val="24"/>
        </w:rPr>
      </w:pPr>
      <w:r w:rsidRPr="00A85DF0">
        <w:rPr>
          <w:rFonts w:ascii="Times New Roman" w:hAnsi="Times New Roman"/>
          <w:b/>
          <w:i/>
          <w:sz w:val="24"/>
        </w:rPr>
        <w:t>Participantes</w:t>
      </w:r>
    </w:p>
    <w:p w14:paraId="528B9B23" w14:textId="5FCFDED2" w:rsidR="00A85DF0" w:rsidRPr="00FB0642" w:rsidRDefault="00A85DF0" w:rsidP="00855BDD">
      <w:pPr>
        <w:ind w:firstLine="708"/>
        <w:rPr>
          <w:rFonts w:ascii="Times New Roman" w:hAnsi="Times New Roman"/>
          <w:sz w:val="24"/>
        </w:rPr>
      </w:pPr>
      <w:r w:rsidRPr="00A85DF0">
        <w:rPr>
          <w:rFonts w:ascii="Times New Roman" w:hAnsi="Times New Roman"/>
          <w:sz w:val="24"/>
        </w:rPr>
        <w:t xml:space="preserve">En este estudio, de corte cualitativo, se empleó una entrevista semiestructurada dirigida a docentes de la Universidad de La Laguna y un grupo de discusión con </w:t>
      </w:r>
      <w:r w:rsidR="0044220D">
        <w:rPr>
          <w:rFonts w:ascii="Times New Roman" w:hAnsi="Times New Roman"/>
          <w:sz w:val="24"/>
        </w:rPr>
        <w:t>diferentes informantes clave</w:t>
      </w:r>
      <w:r w:rsidRPr="00FB0642">
        <w:rPr>
          <w:rFonts w:ascii="Times New Roman" w:hAnsi="Times New Roman"/>
          <w:sz w:val="24"/>
        </w:rPr>
        <w:t xml:space="preserve">. </w:t>
      </w:r>
    </w:p>
    <w:p w14:paraId="1F02A0F2" w14:textId="3BE1F835" w:rsidR="00195D26" w:rsidRPr="00FB0642" w:rsidRDefault="00195D26" w:rsidP="00855BDD">
      <w:pPr>
        <w:ind w:firstLine="708"/>
        <w:rPr>
          <w:rFonts w:ascii="Times New Roman" w:hAnsi="Times New Roman"/>
          <w:sz w:val="24"/>
        </w:rPr>
      </w:pPr>
      <w:r w:rsidRPr="00FB0642">
        <w:rPr>
          <w:rFonts w:ascii="Times New Roman" w:hAnsi="Times New Roman"/>
          <w:sz w:val="24"/>
        </w:rPr>
        <w:t>C</w:t>
      </w:r>
      <w:r w:rsidR="00A85DF0" w:rsidRPr="00FB0642">
        <w:rPr>
          <w:rFonts w:ascii="Times New Roman" w:hAnsi="Times New Roman"/>
          <w:sz w:val="24"/>
        </w:rPr>
        <w:t xml:space="preserve">on la finalidad de </w:t>
      </w:r>
      <w:r w:rsidR="008610FC" w:rsidRPr="00FB0642">
        <w:rPr>
          <w:rFonts w:ascii="Times New Roman" w:hAnsi="Times New Roman"/>
          <w:sz w:val="24"/>
        </w:rPr>
        <w:t xml:space="preserve">seleccionar </w:t>
      </w:r>
      <w:r w:rsidR="00A85DF0" w:rsidRPr="00FB0642">
        <w:rPr>
          <w:rFonts w:ascii="Times New Roman" w:hAnsi="Times New Roman"/>
          <w:sz w:val="24"/>
        </w:rPr>
        <w:t xml:space="preserve">a los participantes que colaboraron en </w:t>
      </w:r>
      <w:r w:rsidRPr="00FB0642">
        <w:rPr>
          <w:rFonts w:ascii="Times New Roman" w:hAnsi="Times New Roman"/>
          <w:sz w:val="24"/>
        </w:rPr>
        <w:t xml:space="preserve">la entrevista, se empleó un muestro intencional de expertos. El requisito establecido para participar era ser docente universitario </w:t>
      </w:r>
      <w:r w:rsidR="00CD7AF8" w:rsidRPr="00FB0642">
        <w:rPr>
          <w:rFonts w:ascii="Times New Roman" w:hAnsi="Times New Roman"/>
          <w:sz w:val="24"/>
        </w:rPr>
        <w:t>en</w:t>
      </w:r>
      <w:r w:rsidRPr="00FB0642">
        <w:rPr>
          <w:rFonts w:ascii="Times New Roman" w:hAnsi="Times New Roman"/>
          <w:sz w:val="24"/>
        </w:rPr>
        <w:t xml:space="preserve"> cualquiera de las ramas de conocimiento</w:t>
      </w:r>
      <w:r w:rsidR="00CD7AF8" w:rsidRPr="00FB0642">
        <w:rPr>
          <w:rFonts w:ascii="Times New Roman" w:hAnsi="Times New Roman"/>
          <w:sz w:val="24"/>
        </w:rPr>
        <w:t xml:space="preserve"> impartidas en la Universidad de La Laguna</w:t>
      </w:r>
      <w:r w:rsidRPr="00FB0642">
        <w:rPr>
          <w:rFonts w:ascii="Times New Roman" w:hAnsi="Times New Roman"/>
          <w:sz w:val="24"/>
        </w:rPr>
        <w:t>.</w:t>
      </w:r>
      <w:r w:rsidR="00A85DF0" w:rsidRPr="00FB0642">
        <w:rPr>
          <w:rFonts w:ascii="Times New Roman" w:hAnsi="Times New Roman"/>
          <w:sz w:val="24"/>
        </w:rPr>
        <w:t xml:space="preserve"> </w:t>
      </w:r>
    </w:p>
    <w:p w14:paraId="27B4F439" w14:textId="2C8BC508" w:rsidR="00A85DF0" w:rsidRPr="00A85DF0" w:rsidRDefault="00A85DF0" w:rsidP="00855BDD">
      <w:pPr>
        <w:ind w:firstLine="708"/>
        <w:rPr>
          <w:rFonts w:ascii="Times New Roman" w:hAnsi="Times New Roman"/>
          <w:sz w:val="24"/>
        </w:rPr>
      </w:pPr>
      <w:r w:rsidRPr="00FB0642">
        <w:rPr>
          <w:rFonts w:ascii="Times New Roman" w:hAnsi="Times New Roman"/>
          <w:sz w:val="24"/>
        </w:rPr>
        <w:t xml:space="preserve">Como se </w:t>
      </w:r>
      <w:r w:rsidR="00A539B8" w:rsidRPr="00FB0642">
        <w:rPr>
          <w:rFonts w:ascii="Times New Roman" w:hAnsi="Times New Roman"/>
          <w:sz w:val="24"/>
        </w:rPr>
        <w:t>puede observar</w:t>
      </w:r>
      <w:r w:rsidRPr="00FB0642">
        <w:rPr>
          <w:rFonts w:ascii="Times New Roman" w:hAnsi="Times New Roman"/>
          <w:sz w:val="24"/>
        </w:rPr>
        <w:t xml:space="preserve"> en la tabla</w:t>
      </w:r>
      <w:r w:rsidR="00034244" w:rsidRPr="00FB0642">
        <w:rPr>
          <w:rFonts w:ascii="Times New Roman" w:hAnsi="Times New Roman"/>
          <w:sz w:val="24"/>
        </w:rPr>
        <w:t xml:space="preserve"> </w:t>
      </w:r>
      <w:r w:rsidR="002C2A5D" w:rsidRPr="00FB0642">
        <w:rPr>
          <w:rFonts w:ascii="Times New Roman" w:hAnsi="Times New Roman"/>
          <w:sz w:val="24"/>
        </w:rPr>
        <w:t>1</w:t>
      </w:r>
      <w:r w:rsidRPr="00FB0642">
        <w:rPr>
          <w:rFonts w:ascii="Times New Roman" w:hAnsi="Times New Roman"/>
          <w:sz w:val="24"/>
        </w:rPr>
        <w:t xml:space="preserve">, </w:t>
      </w:r>
      <w:r w:rsidR="008610FC" w:rsidRPr="00FB0642">
        <w:rPr>
          <w:rFonts w:ascii="Times New Roman" w:hAnsi="Times New Roman"/>
          <w:sz w:val="24"/>
        </w:rPr>
        <w:t xml:space="preserve">participaron 10 docentes, de los cuales 4 eran hombres (40%) y 6 mujeres (60,0%), </w:t>
      </w:r>
      <w:r w:rsidRPr="00FB0642">
        <w:rPr>
          <w:rFonts w:ascii="Times New Roman" w:hAnsi="Times New Roman"/>
          <w:sz w:val="24"/>
        </w:rPr>
        <w:t xml:space="preserve">distribuidos de manera equitativa en </w:t>
      </w:r>
      <w:r w:rsidR="008610FC" w:rsidRPr="00FB0642">
        <w:rPr>
          <w:rFonts w:ascii="Times New Roman" w:hAnsi="Times New Roman"/>
          <w:sz w:val="24"/>
        </w:rPr>
        <w:t xml:space="preserve">las </w:t>
      </w:r>
      <w:r w:rsidR="00195D26" w:rsidRPr="00FB0642">
        <w:rPr>
          <w:rFonts w:ascii="Times New Roman" w:hAnsi="Times New Roman"/>
          <w:sz w:val="24"/>
        </w:rPr>
        <w:t>distintas ramas de conocimiento</w:t>
      </w:r>
      <w:r w:rsidRPr="00FB0642">
        <w:rPr>
          <w:rFonts w:ascii="Times New Roman" w:hAnsi="Times New Roman"/>
          <w:sz w:val="24"/>
        </w:rPr>
        <w:t xml:space="preserve">: artes y humanidades (20,0%), ciencias (20,0%), ciencias de la salud (20,0%), ciencias sociales </w:t>
      </w:r>
      <w:r w:rsidRPr="00A85DF0">
        <w:rPr>
          <w:rFonts w:ascii="Times New Roman" w:hAnsi="Times New Roman"/>
          <w:sz w:val="24"/>
        </w:rPr>
        <w:t>y jurídicas (20,0%) e ingeniería y arquitectura (20,0%).</w:t>
      </w:r>
    </w:p>
    <w:p w14:paraId="6436EED8" w14:textId="77777777" w:rsidR="00195D26" w:rsidRDefault="00195D26" w:rsidP="00855BDD">
      <w:pPr>
        <w:ind w:firstLine="0"/>
        <w:rPr>
          <w:rFonts w:ascii="Times New Roman" w:hAnsi="Times New Roman"/>
          <w:sz w:val="24"/>
        </w:rPr>
      </w:pPr>
    </w:p>
    <w:p w14:paraId="24D1C1A0" w14:textId="77777777" w:rsidR="002C2A5D" w:rsidRPr="002C2A5D" w:rsidRDefault="00A85DF0" w:rsidP="00855BDD">
      <w:pPr>
        <w:ind w:firstLine="0"/>
        <w:rPr>
          <w:rFonts w:ascii="Times New Roman" w:hAnsi="Times New Roman"/>
          <w:b/>
          <w:sz w:val="24"/>
        </w:rPr>
      </w:pPr>
      <w:r w:rsidRPr="002C2A5D">
        <w:rPr>
          <w:rFonts w:ascii="Times New Roman" w:hAnsi="Times New Roman"/>
          <w:b/>
          <w:sz w:val="24"/>
        </w:rPr>
        <w:t xml:space="preserve">Tabla </w:t>
      </w:r>
      <w:r w:rsidR="00195D26" w:rsidRPr="002C2A5D">
        <w:rPr>
          <w:rFonts w:ascii="Times New Roman" w:hAnsi="Times New Roman"/>
          <w:b/>
          <w:sz w:val="24"/>
        </w:rPr>
        <w:t>1</w:t>
      </w:r>
      <w:r w:rsidRPr="002C2A5D">
        <w:rPr>
          <w:rFonts w:ascii="Times New Roman" w:hAnsi="Times New Roman"/>
          <w:b/>
          <w:sz w:val="24"/>
        </w:rPr>
        <w:t xml:space="preserve">. </w:t>
      </w:r>
    </w:p>
    <w:p w14:paraId="6409FBCE" w14:textId="7949F1E4" w:rsidR="00A85DF0" w:rsidRDefault="00A85DF0" w:rsidP="00855BDD">
      <w:pPr>
        <w:ind w:firstLine="0"/>
        <w:rPr>
          <w:rFonts w:ascii="Times New Roman" w:hAnsi="Times New Roman"/>
          <w:i/>
          <w:sz w:val="24"/>
        </w:rPr>
      </w:pPr>
      <w:r w:rsidRPr="00A85DF0">
        <w:rPr>
          <w:rFonts w:ascii="Times New Roman" w:hAnsi="Times New Roman"/>
          <w:i/>
          <w:sz w:val="24"/>
        </w:rPr>
        <w:t>Características de la muestra participante en la entrevista semiestructurada</w:t>
      </w:r>
    </w:p>
    <w:p w14:paraId="76A36815" w14:textId="6F4A1F84" w:rsidR="00195D26" w:rsidRDefault="00195D26" w:rsidP="00855BDD">
      <w:pPr>
        <w:ind w:firstLine="0"/>
        <w:rPr>
          <w:rFonts w:ascii="Times New Roman" w:hAnsi="Times New Roman"/>
          <w:i/>
          <w:sz w:val="24"/>
        </w:rPr>
      </w:pPr>
    </w:p>
    <w:tbl>
      <w:tblPr>
        <w:tblW w:w="8520" w:type="dxa"/>
        <w:tblInd w:w="100" w:type="dxa"/>
        <w:tblBorders>
          <w:insideH w:val="nil"/>
          <w:insideV w:val="nil"/>
        </w:tblBorders>
        <w:tblLayout w:type="fixed"/>
        <w:tblLook w:val="0600" w:firstRow="0" w:lastRow="0" w:firstColumn="0" w:lastColumn="0" w:noHBand="1" w:noVBand="1"/>
      </w:tblPr>
      <w:tblGrid>
        <w:gridCol w:w="2835"/>
        <w:gridCol w:w="2849"/>
        <w:gridCol w:w="2836"/>
      </w:tblGrid>
      <w:tr w:rsidR="00A85DF0" w:rsidRPr="00195D26" w14:paraId="2BB64D62" w14:textId="77777777" w:rsidTr="00195D26">
        <w:trPr>
          <w:trHeight w:val="74"/>
        </w:trPr>
        <w:tc>
          <w:tcPr>
            <w:tcW w:w="8520" w:type="dxa"/>
            <w:gridSpan w:val="3"/>
            <w:tcBorders>
              <w:top w:val="single" w:sz="18" w:space="0" w:color="000000"/>
              <w:left w:val="nil"/>
              <w:bottom w:val="single" w:sz="18" w:space="0" w:color="000000"/>
              <w:right w:val="nil"/>
            </w:tcBorders>
            <w:shd w:val="clear" w:color="auto" w:fill="auto"/>
            <w:tcMar>
              <w:top w:w="100" w:type="dxa"/>
              <w:left w:w="100" w:type="dxa"/>
              <w:bottom w:w="100" w:type="dxa"/>
              <w:right w:w="100" w:type="dxa"/>
            </w:tcMar>
            <w:hideMark/>
          </w:tcPr>
          <w:p w14:paraId="6E0E0A84" w14:textId="77777777" w:rsidR="00A85DF0" w:rsidRPr="00195D26" w:rsidRDefault="00A85DF0" w:rsidP="00855BDD">
            <w:pPr>
              <w:ind w:firstLine="0"/>
              <w:jc w:val="center"/>
              <w:rPr>
                <w:rFonts w:ascii="Times New Roman" w:hAnsi="Times New Roman"/>
                <w:sz w:val="20"/>
              </w:rPr>
            </w:pPr>
            <w:r w:rsidRPr="00195D26">
              <w:rPr>
                <w:rFonts w:ascii="Times New Roman" w:hAnsi="Times New Roman"/>
                <w:sz w:val="20"/>
              </w:rPr>
              <w:t>Número de docentes participante en la entrevista semiestructurada = 10 (n=10)</w:t>
            </w:r>
          </w:p>
        </w:tc>
      </w:tr>
      <w:tr w:rsidR="00A85DF0" w:rsidRPr="00195D26" w14:paraId="600053DC" w14:textId="77777777" w:rsidTr="00195D26">
        <w:trPr>
          <w:trHeight w:val="74"/>
        </w:trPr>
        <w:tc>
          <w:tcPr>
            <w:tcW w:w="2835"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0BC383F1" w14:textId="77777777" w:rsidR="00A85DF0" w:rsidRPr="00195D26" w:rsidRDefault="00A85DF0" w:rsidP="00855BDD">
            <w:pPr>
              <w:ind w:firstLine="0"/>
              <w:rPr>
                <w:rFonts w:ascii="Times New Roman" w:hAnsi="Times New Roman"/>
                <w:b/>
                <w:sz w:val="20"/>
              </w:rPr>
            </w:pPr>
            <w:r w:rsidRPr="00195D26">
              <w:rPr>
                <w:rFonts w:ascii="Times New Roman" w:hAnsi="Times New Roman"/>
                <w:b/>
                <w:sz w:val="20"/>
              </w:rPr>
              <w:t>Rama de conocimiento</w:t>
            </w:r>
          </w:p>
        </w:tc>
        <w:tc>
          <w:tcPr>
            <w:tcW w:w="2849"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66A97822" w14:textId="77777777" w:rsidR="00A85DF0" w:rsidRPr="00195D26" w:rsidRDefault="00A85DF0" w:rsidP="00855BDD">
            <w:pPr>
              <w:ind w:firstLine="0"/>
              <w:rPr>
                <w:rFonts w:ascii="Times New Roman" w:hAnsi="Times New Roman"/>
                <w:b/>
                <w:sz w:val="20"/>
              </w:rPr>
            </w:pPr>
            <w:r w:rsidRPr="00195D26">
              <w:rPr>
                <w:rFonts w:ascii="Times New Roman" w:hAnsi="Times New Roman"/>
                <w:b/>
                <w:sz w:val="20"/>
              </w:rPr>
              <w:t>Codificación</w:t>
            </w:r>
          </w:p>
        </w:tc>
        <w:tc>
          <w:tcPr>
            <w:tcW w:w="2836"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0E72AA6A" w14:textId="77777777" w:rsidR="00A85DF0" w:rsidRPr="00195D26" w:rsidRDefault="00A85DF0" w:rsidP="00855BDD">
            <w:pPr>
              <w:ind w:firstLine="0"/>
              <w:rPr>
                <w:rFonts w:ascii="Times New Roman" w:hAnsi="Times New Roman"/>
                <w:b/>
                <w:sz w:val="20"/>
              </w:rPr>
            </w:pPr>
            <w:r w:rsidRPr="00195D26">
              <w:rPr>
                <w:rFonts w:ascii="Times New Roman" w:hAnsi="Times New Roman"/>
                <w:b/>
                <w:sz w:val="20"/>
              </w:rPr>
              <w:t>Género</w:t>
            </w:r>
          </w:p>
        </w:tc>
      </w:tr>
      <w:tr w:rsidR="00A85DF0" w:rsidRPr="00195D26" w14:paraId="54F44223" w14:textId="77777777" w:rsidTr="00195D26">
        <w:trPr>
          <w:trHeight w:val="70"/>
        </w:trPr>
        <w:tc>
          <w:tcPr>
            <w:tcW w:w="2835" w:type="dxa"/>
            <w:vMerge w:val="restart"/>
            <w:tcBorders>
              <w:top w:val="nil"/>
              <w:left w:val="nil"/>
              <w:bottom w:val="single" w:sz="8" w:space="0" w:color="000000"/>
              <w:right w:val="nil"/>
            </w:tcBorders>
            <w:shd w:val="clear" w:color="auto" w:fill="auto"/>
            <w:tcMar>
              <w:top w:w="100" w:type="dxa"/>
              <w:left w:w="100" w:type="dxa"/>
              <w:bottom w:w="100" w:type="dxa"/>
              <w:right w:w="100" w:type="dxa"/>
            </w:tcMar>
            <w:hideMark/>
          </w:tcPr>
          <w:p w14:paraId="079E1756"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lastRenderedPageBreak/>
              <w:t>Artes y humanidades</w:t>
            </w: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56F1EDBF"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EAH1</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1A3A985F"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77255B06" w14:textId="77777777" w:rsidTr="00195D26">
        <w:trPr>
          <w:trHeight w:val="70"/>
        </w:trPr>
        <w:tc>
          <w:tcPr>
            <w:tcW w:w="2835" w:type="dxa"/>
            <w:vMerge/>
            <w:tcBorders>
              <w:top w:val="nil"/>
              <w:left w:val="nil"/>
              <w:bottom w:val="single" w:sz="8" w:space="0" w:color="000000"/>
              <w:right w:val="nil"/>
            </w:tcBorders>
            <w:shd w:val="clear" w:color="auto" w:fill="auto"/>
            <w:vAlign w:val="center"/>
            <w:hideMark/>
          </w:tcPr>
          <w:p w14:paraId="399A1973" w14:textId="77777777" w:rsidR="00A85DF0" w:rsidRPr="00195D26" w:rsidRDefault="00A85DF0" w:rsidP="00855BDD">
            <w:pPr>
              <w:ind w:firstLine="0"/>
              <w:rPr>
                <w:rFonts w:ascii="Times New Roman" w:hAnsi="Times New Roman"/>
                <w:sz w:val="20"/>
              </w:rPr>
            </w:pP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67CF175C"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EAH2</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EC0024F"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0C38F3BF" w14:textId="77777777" w:rsidTr="00195D26">
        <w:trPr>
          <w:trHeight w:val="70"/>
        </w:trPr>
        <w:tc>
          <w:tcPr>
            <w:tcW w:w="2835" w:type="dxa"/>
            <w:vMerge w:val="restart"/>
            <w:tcBorders>
              <w:top w:val="nil"/>
              <w:left w:val="nil"/>
              <w:bottom w:val="single" w:sz="8" w:space="0" w:color="000000"/>
              <w:right w:val="nil"/>
            </w:tcBorders>
            <w:shd w:val="clear" w:color="auto" w:fill="auto"/>
            <w:tcMar>
              <w:top w:w="100" w:type="dxa"/>
              <w:left w:w="100" w:type="dxa"/>
              <w:bottom w:w="100" w:type="dxa"/>
              <w:right w:w="100" w:type="dxa"/>
            </w:tcMar>
            <w:hideMark/>
          </w:tcPr>
          <w:p w14:paraId="6F21FC93"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Ciencias</w:t>
            </w: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5E375F0"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EC1</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2302646"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6F78633D" w14:textId="77777777" w:rsidTr="00195D26">
        <w:trPr>
          <w:trHeight w:val="70"/>
        </w:trPr>
        <w:tc>
          <w:tcPr>
            <w:tcW w:w="2835" w:type="dxa"/>
            <w:vMerge/>
            <w:tcBorders>
              <w:top w:val="nil"/>
              <w:left w:val="nil"/>
              <w:bottom w:val="single" w:sz="8" w:space="0" w:color="000000"/>
              <w:right w:val="nil"/>
            </w:tcBorders>
            <w:shd w:val="clear" w:color="auto" w:fill="auto"/>
            <w:vAlign w:val="center"/>
            <w:hideMark/>
          </w:tcPr>
          <w:p w14:paraId="7FEB8F39" w14:textId="77777777" w:rsidR="00A85DF0" w:rsidRPr="00195D26" w:rsidRDefault="00A85DF0" w:rsidP="00855BDD">
            <w:pPr>
              <w:ind w:firstLine="0"/>
              <w:rPr>
                <w:rFonts w:ascii="Times New Roman" w:hAnsi="Times New Roman"/>
                <w:sz w:val="20"/>
              </w:rPr>
            </w:pP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AE26E52"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EC2</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2BAEE448"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43961F82" w14:textId="77777777" w:rsidTr="00195D26">
        <w:trPr>
          <w:trHeight w:val="70"/>
        </w:trPr>
        <w:tc>
          <w:tcPr>
            <w:tcW w:w="2835" w:type="dxa"/>
            <w:vMerge w:val="restart"/>
            <w:tcBorders>
              <w:top w:val="nil"/>
              <w:left w:val="nil"/>
              <w:bottom w:val="single" w:sz="8" w:space="0" w:color="000000"/>
              <w:right w:val="nil"/>
            </w:tcBorders>
            <w:shd w:val="clear" w:color="auto" w:fill="auto"/>
            <w:tcMar>
              <w:top w:w="100" w:type="dxa"/>
              <w:left w:w="100" w:type="dxa"/>
              <w:bottom w:w="100" w:type="dxa"/>
              <w:right w:w="100" w:type="dxa"/>
            </w:tcMar>
            <w:hideMark/>
          </w:tcPr>
          <w:p w14:paraId="78840721"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Ciencias de la salud</w:t>
            </w: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7C127372"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ECS1</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6AE3E35C"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3797E86E" w14:textId="77777777" w:rsidTr="00195D26">
        <w:trPr>
          <w:trHeight w:val="70"/>
        </w:trPr>
        <w:tc>
          <w:tcPr>
            <w:tcW w:w="2835" w:type="dxa"/>
            <w:vMerge/>
            <w:tcBorders>
              <w:top w:val="nil"/>
              <w:left w:val="nil"/>
              <w:bottom w:val="single" w:sz="8" w:space="0" w:color="000000"/>
              <w:right w:val="nil"/>
            </w:tcBorders>
            <w:shd w:val="clear" w:color="auto" w:fill="auto"/>
            <w:vAlign w:val="center"/>
            <w:hideMark/>
          </w:tcPr>
          <w:p w14:paraId="71438508" w14:textId="77777777" w:rsidR="00A85DF0" w:rsidRPr="00195D26" w:rsidRDefault="00A85DF0" w:rsidP="00855BDD">
            <w:pPr>
              <w:ind w:firstLine="0"/>
              <w:rPr>
                <w:rFonts w:ascii="Times New Roman" w:hAnsi="Times New Roman"/>
                <w:sz w:val="20"/>
              </w:rPr>
            </w:pP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465376B2"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ECS2</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AFD6EFF"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485B5355" w14:textId="77777777" w:rsidTr="00195D26">
        <w:trPr>
          <w:trHeight w:val="70"/>
        </w:trPr>
        <w:tc>
          <w:tcPr>
            <w:tcW w:w="2835" w:type="dxa"/>
            <w:vMerge w:val="restart"/>
            <w:tcBorders>
              <w:top w:val="nil"/>
              <w:left w:val="nil"/>
              <w:bottom w:val="single" w:sz="8" w:space="0" w:color="000000"/>
              <w:right w:val="nil"/>
            </w:tcBorders>
            <w:shd w:val="clear" w:color="auto" w:fill="auto"/>
            <w:tcMar>
              <w:top w:w="100" w:type="dxa"/>
              <w:left w:w="100" w:type="dxa"/>
              <w:bottom w:w="100" w:type="dxa"/>
              <w:right w:w="100" w:type="dxa"/>
            </w:tcMar>
            <w:hideMark/>
          </w:tcPr>
          <w:p w14:paraId="59BC9BDA"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Ciencias sociales y jurídicas</w:t>
            </w: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33B3D682"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ECSJ1</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15390AAD"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0703D23A" w14:textId="77777777" w:rsidTr="00195D26">
        <w:trPr>
          <w:trHeight w:val="70"/>
        </w:trPr>
        <w:tc>
          <w:tcPr>
            <w:tcW w:w="2835" w:type="dxa"/>
            <w:vMerge/>
            <w:tcBorders>
              <w:top w:val="nil"/>
              <w:left w:val="nil"/>
              <w:bottom w:val="single" w:sz="8" w:space="0" w:color="000000"/>
              <w:right w:val="nil"/>
            </w:tcBorders>
            <w:shd w:val="clear" w:color="auto" w:fill="auto"/>
            <w:vAlign w:val="center"/>
            <w:hideMark/>
          </w:tcPr>
          <w:p w14:paraId="7298BE77" w14:textId="77777777" w:rsidR="00A85DF0" w:rsidRPr="00195D26" w:rsidRDefault="00A85DF0" w:rsidP="00855BDD">
            <w:pPr>
              <w:ind w:firstLine="0"/>
              <w:rPr>
                <w:rFonts w:ascii="Times New Roman" w:hAnsi="Times New Roman"/>
                <w:sz w:val="20"/>
              </w:rPr>
            </w:pP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68CFCC38"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ECSJ2</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6DA7D41"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25A046BC" w14:textId="77777777" w:rsidTr="00195D26">
        <w:trPr>
          <w:trHeight w:val="70"/>
        </w:trPr>
        <w:tc>
          <w:tcPr>
            <w:tcW w:w="2835" w:type="dxa"/>
            <w:vMerge w:val="restart"/>
            <w:tcBorders>
              <w:top w:val="nil"/>
              <w:left w:val="nil"/>
              <w:bottom w:val="single" w:sz="18" w:space="0" w:color="000000"/>
              <w:right w:val="nil"/>
            </w:tcBorders>
            <w:shd w:val="clear" w:color="auto" w:fill="auto"/>
            <w:tcMar>
              <w:top w:w="100" w:type="dxa"/>
              <w:left w:w="100" w:type="dxa"/>
              <w:bottom w:w="100" w:type="dxa"/>
              <w:right w:w="100" w:type="dxa"/>
            </w:tcMar>
            <w:hideMark/>
          </w:tcPr>
          <w:p w14:paraId="38A4A39B"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Ingeniería y arquitectura</w:t>
            </w:r>
          </w:p>
        </w:tc>
        <w:tc>
          <w:tcPr>
            <w:tcW w:w="2849"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1F25556A"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EIA1</w:t>
            </w:r>
          </w:p>
        </w:tc>
        <w:tc>
          <w:tcPr>
            <w:tcW w:w="2836"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764A90C2"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3AF7B486" w14:textId="77777777" w:rsidTr="00195D26">
        <w:trPr>
          <w:trHeight w:val="70"/>
        </w:trPr>
        <w:tc>
          <w:tcPr>
            <w:tcW w:w="2835" w:type="dxa"/>
            <w:vMerge/>
            <w:tcBorders>
              <w:top w:val="nil"/>
              <w:left w:val="nil"/>
              <w:bottom w:val="single" w:sz="18" w:space="0" w:color="000000"/>
              <w:right w:val="nil"/>
            </w:tcBorders>
            <w:shd w:val="clear" w:color="auto" w:fill="auto"/>
            <w:vAlign w:val="center"/>
            <w:hideMark/>
          </w:tcPr>
          <w:p w14:paraId="10C64F46" w14:textId="77777777" w:rsidR="00A85DF0" w:rsidRPr="00195D26" w:rsidRDefault="00A85DF0" w:rsidP="00855BDD">
            <w:pPr>
              <w:ind w:firstLine="0"/>
              <w:rPr>
                <w:rFonts w:ascii="Times New Roman" w:hAnsi="Times New Roman"/>
                <w:sz w:val="20"/>
              </w:rPr>
            </w:pPr>
          </w:p>
        </w:tc>
        <w:tc>
          <w:tcPr>
            <w:tcW w:w="2849"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22DBF404"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EIA2</w:t>
            </w:r>
          </w:p>
        </w:tc>
        <w:tc>
          <w:tcPr>
            <w:tcW w:w="2836"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6B2D1125"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bl>
    <w:p w14:paraId="59A6775C" w14:textId="77777777" w:rsidR="00195D26" w:rsidRDefault="00A85DF0" w:rsidP="00855BDD">
      <w:pPr>
        <w:ind w:firstLine="0"/>
        <w:rPr>
          <w:rFonts w:ascii="Times New Roman" w:hAnsi="Times New Roman"/>
          <w:b/>
          <w:sz w:val="24"/>
        </w:rPr>
      </w:pPr>
      <w:r w:rsidRPr="00A85DF0">
        <w:rPr>
          <w:rFonts w:ascii="Times New Roman" w:hAnsi="Times New Roman"/>
          <w:b/>
          <w:sz w:val="24"/>
        </w:rPr>
        <w:t xml:space="preserve">        </w:t>
      </w:r>
      <w:r w:rsidRPr="00A85DF0">
        <w:rPr>
          <w:rFonts w:ascii="Times New Roman" w:hAnsi="Times New Roman"/>
          <w:b/>
          <w:sz w:val="24"/>
        </w:rPr>
        <w:tab/>
      </w:r>
    </w:p>
    <w:p w14:paraId="4BD54ABA" w14:textId="7B9AB7C5" w:rsidR="00A85DF0" w:rsidRPr="00A85DF0" w:rsidRDefault="00A85DF0" w:rsidP="00855BDD">
      <w:pPr>
        <w:ind w:firstLine="708"/>
        <w:rPr>
          <w:rFonts w:ascii="Times New Roman" w:hAnsi="Times New Roman"/>
          <w:sz w:val="24"/>
        </w:rPr>
      </w:pPr>
      <w:r w:rsidRPr="00FB0642">
        <w:rPr>
          <w:rFonts w:ascii="Times New Roman" w:hAnsi="Times New Roman"/>
          <w:sz w:val="24"/>
        </w:rPr>
        <w:t>En cuanto al grupo de discusión, se contó con la participación de 8 informantes clave, distribuidos de la siguiente manera: un estudiante universitario (EU), un técnico</w:t>
      </w:r>
      <w:r w:rsidR="008610FC" w:rsidRPr="00FB0642">
        <w:rPr>
          <w:rFonts w:ascii="Times New Roman" w:hAnsi="Times New Roman"/>
          <w:sz w:val="24"/>
        </w:rPr>
        <w:t xml:space="preserve"> de la Unidad de evaluación institucional de la calidad perteneciente al Vicerrectorado de Docencia</w:t>
      </w:r>
      <w:r w:rsidRPr="00FB0642">
        <w:rPr>
          <w:rFonts w:ascii="Times New Roman" w:hAnsi="Times New Roman"/>
          <w:sz w:val="24"/>
        </w:rPr>
        <w:t xml:space="preserve"> (UCAL), un decano (DEC), dos </w:t>
      </w:r>
      <w:r w:rsidRPr="00A85DF0">
        <w:rPr>
          <w:rFonts w:ascii="Times New Roman" w:hAnsi="Times New Roman"/>
          <w:sz w:val="24"/>
        </w:rPr>
        <w:t xml:space="preserve">profesores universitarios (PU1; PU2), un </w:t>
      </w:r>
      <w:r w:rsidR="008610FC">
        <w:rPr>
          <w:rFonts w:ascii="Times New Roman" w:hAnsi="Times New Roman"/>
          <w:sz w:val="24"/>
        </w:rPr>
        <w:t>miembro d</w:t>
      </w:r>
      <w:r w:rsidRPr="00A85DF0">
        <w:rPr>
          <w:rFonts w:ascii="Times New Roman" w:hAnsi="Times New Roman"/>
          <w:sz w:val="24"/>
        </w:rPr>
        <w:t xml:space="preserve">e la </w:t>
      </w:r>
      <w:r w:rsidRPr="008610FC">
        <w:rPr>
          <w:rFonts w:ascii="Times New Roman" w:hAnsi="Times New Roman"/>
          <w:sz w:val="24"/>
        </w:rPr>
        <w:t>asesoría jurídica</w:t>
      </w:r>
      <w:r w:rsidR="008610FC">
        <w:rPr>
          <w:rFonts w:ascii="Times New Roman" w:hAnsi="Times New Roman"/>
          <w:sz w:val="24"/>
        </w:rPr>
        <w:t xml:space="preserve"> del Vicerrectorado de Estudiantes</w:t>
      </w:r>
      <w:r w:rsidR="00034244">
        <w:rPr>
          <w:rFonts w:ascii="Times New Roman" w:hAnsi="Times New Roman"/>
          <w:sz w:val="24"/>
        </w:rPr>
        <w:t xml:space="preserve"> (AJUR), un director de D</w:t>
      </w:r>
      <w:r w:rsidRPr="00A85DF0">
        <w:rPr>
          <w:rFonts w:ascii="Times New Roman" w:hAnsi="Times New Roman"/>
          <w:sz w:val="24"/>
        </w:rPr>
        <w:t xml:space="preserve">epartamento (DIDE) y un moderador no participante (tabla </w:t>
      </w:r>
      <w:r w:rsidR="00195D26">
        <w:rPr>
          <w:rFonts w:ascii="Times New Roman" w:hAnsi="Times New Roman"/>
          <w:sz w:val="24"/>
        </w:rPr>
        <w:t>2</w:t>
      </w:r>
      <w:r w:rsidRPr="00A85DF0">
        <w:rPr>
          <w:rFonts w:ascii="Times New Roman" w:hAnsi="Times New Roman"/>
          <w:sz w:val="24"/>
        </w:rPr>
        <w:t>).</w:t>
      </w:r>
    </w:p>
    <w:p w14:paraId="50A09770" w14:textId="77777777" w:rsidR="00A85DF0" w:rsidRPr="00A85DF0" w:rsidRDefault="00A85DF0" w:rsidP="00855BDD">
      <w:pPr>
        <w:ind w:firstLine="0"/>
        <w:rPr>
          <w:rFonts w:ascii="Times New Roman" w:hAnsi="Times New Roman"/>
          <w:sz w:val="24"/>
        </w:rPr>
      </w:pPr>
      <w:r w:rsidRPr="00A85DF0">
        <w:rPr>
          <w:rFonts w:ascii="Times New Roman" w:hAnsi="Times New Roman"/>
          <w:sz w:val="24"/>
        </w:rPr>
        <w:t xml:space="preserve"> </w:t>
      </w:r>
    </w:p>
    <w:p w14:paraId="39FA538B" w14:textId="77777777" w:rsidR="00802559" w:rsidRPr="00802559" w:rsidRDefault="00A85DF0" w:rsidP="00855BDD">
      <w:pPr>
        <w:ind w:firstLine="0"/>
        <w:rPr>
          <w:rFonts w:ascii="Times New Roman" w:hAnsi="Times New Roman"/>
          <w:b/>
          <w:sz w:val="24"/>
        </w:rPr>
      </w:pPr>
      <w:r w:rsidRPr="00802559">
        <w:rPr>
          <w:rFonts w:ascii="Times New Roman" w:hAnsi="Times New Roman"/>
          <w:b/>
          <w:sz w:val="24"/>
        </w:rPr>
        <w:t xml:space="preserve">Tabla </w:t>
      </w:r>
      <w:r w:rsidR="00195D26" w:rsidRPr="00802559">
        <w:rPr>
          <w:rFonts w:ascii="Times New Roman" w:hAnsi="Times New Roman"/>
          <w:b/>
          <w:sz w:val="24"/>
        </w:rPr>
        <w:t>2</w:t>
      </w:r>
      <w:r w:rsidRPr="00802559">
        <w:rPr>
          <w:rFonts w:ascii="Times New Roman" w:hAnsi="Times New Roman"/>
          <w:b/>
          <w:sz w:val="24"/>
        </w:rPr>
        <w:t xml:space="preserve">. </w:t>
      </w:r>
    </w:p>
    <w:p w14:paraId="3BDE83AC" w14:textId="6E728236" w:rsidR="00A85DF0" w:rsidRPr="00A85DF0" w:rsidRDefault="00A85DF0" w:rsidP="00855BDD">
      <w:pPr>
        <w:ind w:firstLine="0"/>
        <w:rPr>
          <w:rFonts w:ascii="Times New Roman" w:hAnsi="Times New Roman"/>
          <w:i/>
          <w:sz w:val="24"/>
        </w:rPr>
      </w:pPr>
      <w:r w:rsidRPr="00A85DF0">
        <w:rPr>
          <w:rFonts w:ascii="Times New Roman" w:hAnsi="Times New Roman"/>
          <w:i/>
          <w:sz w:val="24"/>
        </w:rPr>
        <w:t>Características de los informantes clave participante en el grupo de discusión</w:t>
      </w:r>
    </w:p>
    <w:tbl>
      <w:tblPr>
        <w:tblW w:w="8523" w:type="dxa"/>
        <w:tblInd w:w="100" w:type="dxa"/>
        <w:tblBorders>
          <w:insideH w:val="nil"/>
          <w:insideV w:val="nil"/>
        </w:tblBorders>
        <w:tblLayout w:type="fixed"/>
        <w:tblLook w:val="0600" w:firstRow="0" w:lastRow="0" w:firstColumn="0" w:lastColumn="0" w:noHBand="1" w:noVBand="1"/>
      </w:tblPr>
      <w:tblGrid>
        <w:gridCol w:w="3754"/>
        <w:gridCol w:w="1927"/>
        <w:gridCol w:w="2842"/>
      </w:tblGrid>
      <w:tr w:rsidR="00A85DF0" w:rsidRPr="00195D26" w14:paraId="3778B1E8" w14:textId="77777777" w:rsidTr="00195D26">
        <w:trPr>
          <w:trHeight w:val="199"/>
        </w:trPr>
        <w:tc>
          <w:tcPr>
            <w:tcW w:w="8523" w:type="dxa"/>
            <w:gridSpan w:val="3"/>
            <w:tcBorders>
              <w:top w:val="single" w:sz="18" w:space="0" w:color="000000"/>
              <w:left w:val="nil"/>
              <w:bottom w:val="single" w:sz="18" w:space="0" w:color="000000"/>
              <w:right w:val="nil"/>
            </w:tcBorders>
            <w:shd w:val="clear" w:color="auto" w:fill="auto"/>
            <w:tcMar>
              <w:top w:w="100" w:type="dxa"/>
              <w:left w:w="100" w:type="dxa"/>
              <w:bottom w:w="100" w:type="dxa"/>
              <w:right w:w="100" w:type="dxa"/>
            </w:tcMar>
            <w:hideMark/>
          </w:tcPr>
          <w:p w14:paraId="626E2B1C" w14:textId="77777777" w:rsidR="00A85DF0" w:rsidRPr="00195D26" w:rsidRDefault="00A85DF0" w:rsidP="00A539B8">
            <w:pPr>
              <w:ind w:firstLine="0"/>
              <w:jc w:val="center"/>
              <w:rPr>
                <w:rFonts w:ascii="Times New Roman" w:hAnsi="Times New Roman"/>
                <w:sz w:val="20"/>
              </w:rPr>
            </w:pPr>
            <w:r w:rsidRPr="00195D26">
              <w:rPr>
                <w:rFonts w:ascii="Times New Roman" w:hAnsi="Times New Roman"/>
                <w:sz w:val="20"/>
              </w:rPr>
              <w:t>Número de docentes participante en la entrevista semiestructurada = 10 (n=10)</w:t>
            </w:r>
          </w:p>
        </w:tc>
      </w:tr>
      <w:tr w:rsidR="00A85DF0" w:rsidRPr="00195D26" w14:paraId="02538719" w14:textId="77777777" w:rsidTr="00195D26">
        <w:trPr>
          <w:trHeight w:val="199"/>
        </w:trPr>
        <w:tc>
          <w:tcPr>
            <w:tcW w:w="3754"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2C4DD7DD" w14:textId="77777777" w:rsidR="00A85DF0" w:rsidRPr="00195D26" w:rsidRDefault="00A85DF0" w:rsidP="00855BDD">
            <w:pPr>
              <w:ind w:firstLine="0"/>
              <w:rPr>
                <w:rFonts w:ascii="Times New Roman" w:hAnsi="Times New Roman"/>
                <w:b/>
                <w:sz w:val="20"/>
              </w:rPr>
            </w:pPr>
            <w:r w:rsidRPr="00195D26">
              <w:rPr>
                <w:rFonts w:ascii="Times New Roman" w:hAnsi="Times New Roman"/>
                <w:b/>
                <w:sz w:val="20"/>
              </w:rPr>
              <w:t>Participante</w:t>
            </w:r>
          </w:p>
        </w:tc>
        <w:tc>
          <w:tcPr>
            <w:tcW w:w="1927" w:type="dxa"/>
            <w:tcBorders>
              <w:top w:val="nil"/>
              <w:left w:val="nil"/>
              <w:bottom w:val="single" w:sz="18" w:space="0" w:color="000000"/>
              <w:right w:val="single" w:sz="8" w:space="0" w:color="000000"/>
            </w:tcBorders>
            <w:shd w:val="clear" w:color="auto" w:fill="auto"/>
            <w:tcMar>
              <w:top w:w="100" w:type="dxa"/>
              <w:left w:w="100" w:type="dxa"/>
              <w:bottom w:w="100" w:type="dxa"/>
              <w:right w:w="100" w:type="dxa"/>
            </w:tcMar>
            <w:hideMark/>
          </w:tcPr>
          <w:p w14:paraId="415F172C" w14:textId="77777777" w:rsidR="00A85DF0" w:rsidRPr="00195D26" w:rsidRDefault="00A85DF0" w:rsidP="00855BDD">
            <w:pPr>
              <w:ind w:firstLine="0"/>
              <w:rPr>
                <w:rFonts w:ascii="Times New Roman" w:hAnsi="Times New Roman"/>
                <w:b/>
                <w:sz w:val="20"/>
              </w:rPr>
            </w:pPr>
            <w:r w:rsidRPr="00195D26">
              <w:rPr>
                <w:rFonts w:ascii="Times New Roman" w:hAnsi="Times New Roman"/>
                <w:b/>
                <w:sz w:val="20"/>
              </w:rPr>
              <w:t>Codificación</w:t>
            </w:r>
          </w:p>
        </w:tc>
        <w:tc>
          <w:tcPr>
            <w:tcW w:w="2841"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7808BD4F" w14:textId="77777777" w:rsidR="00A85DF0" w:rsidRPr="00195D26" w:rsidRDefault="00A85DF0" w:rsidP="00855BDD">
            <w:pPr>
              <w:ind w:firstLine="0"/>
              <w:rPr>
                <w:rFonts w:ascii="Times New Roman" w:hAnsi="Times New Roman"/>
                <w:b/>
                <w:sz w:val="20"/>
              </w:rPr>
            </w:pPr>
            <w:r w:rsidRPr="00195D26">
              <w:rPr>
                <w:rFonts w:ascii="Times New Roman" w:hAnsi="Times New Roman"/>
                <w:b/>
                <w:sz w:val="20"/>
              </w:rPr>
              <w:t>Género</w:t>
            </w:r>
          </w:p>
        </w:tc>
      </w:tr>
      <w:tr w:rsidR="00A85DF0" w:rsidRPr="00195D26" w14:paraId="3A653736"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59728640"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Estudiante Universitario</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199519A0"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EU</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804C77A"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0950327F"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5803ECAE"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Técnico de la Unidad de Calidad</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299BB5CA"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UCAL</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5599D368"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20E9B4C7"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64ADF353"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Decano</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005C920B"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DEC</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7A5B7022"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5E4C8A6C"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40C8F1DC"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Profesor universitario 1</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77F36E45"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PU1</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50DA35BE"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4B4CF0A1"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39672741"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Profesor universitario 2</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4559B02B"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PU2</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1CC84D5F"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0612200A"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61B83664"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Responsable de Asesoría Jurídica</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730B755D"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AJUR</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19A2653A"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r w:rsidR="00A85DF0" w:rsidRPr="00195D26" w14:paraId="13391006" w14:textId="77777777" w:rsidTr="00195D26">
        <w:trPr>
          <w:trHeight w:val="191"/>
        </w:trPr>
        <w:tc>
          <w:tcPr>
            <w:tcW w:w="3754"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0063DB6E"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Director de departamento</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11E5BC7E"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DIDE</w:t>
            </w:r>
          </w:p>
        </w:tc>
        <w:tc>
          <w:tcPr>
            <w:tcW w:w="2841" w:type="dxa"/>
            <w:tcBorders>
              <w:top w:val="nil"/>
              <w:left w:val="nil"/>
              <w:bottom w:val="single" w:sz="8" w:space="0" w:color="000000"/>
              <w:right w:val="nil"/>
            </w:tcBorders>
            <w:shd w:val="clear" w:color="auto" w:fill="auto"/>
            <w:tcMar>
              <w:top w:w="100" w:type="dxa"/>
              <w:left w:w="100" w:type="dxa"/>
              <w:bottom w:w="100" w:type="dxa"/>
              <w:right w:w="100" w:type="dxa"/>
            </w:tcMar>
            <w:hideMark/>
          </w:tcPr>
          <w:p w14:paraId="357CE3B9"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Hombre</w:t>
            </w:r>
          </w:p>
        </w:tc>
      </w:tr>
      <w:tr w:rsidR="00A85DF0" w:rsidRPr="00195D26" w14:paraId="1DDE823A" w14:textId="77777777" w:rsidTr="00195D26">
        <w:trPr>
          <w:trHeight w:val="191"/>
        </w:trPr>
        <w:tc>
          <w:tcPr>
            <w:tcW w:w="3754"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0F287DBD"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Moderador no participante</w:t>
            </w:r>
          </w:p>
        </w:tc>
        <w:tc>
          <w:tcPr>
            <w:tcW w:w="1927" w:type="dxa"/>
            <w:tcBorders>
              <w:top w:val="nil"/>
              <w:left w:val="nil"/>
              <w:bottom w:val="single" w:sz="18" w:space="0" w:color="000000"/>
              <w:right w:val="single" w:sz="8" w:space="0" w:color="000000"/>
            </w:tcBorders>
            <w:shd w:val="clear" w:color="auto" w:fill="auto"/>
            <w:tcMar>
              <w:top w:w="100" w:type="dxa"/>
              <w:left w:w="100" w:type="dxa"/>
              <w:bottom w:w="100" w:type="dxa"/>
              <w:right w:w="100" w:type="dxa"/>
            </w:tcMar>
            <w:hideMark/>
          </w:tcPr>
          <w:p w14:paraId="1F6C810C"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 xml:space="preserve"> </w:t>
            </w:r>
          </w:p>
        </w:tc>
        <w:tc>
          <w:tcPr>
            <w:tcW w:w="2841"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209F647B" w14:textId="77777777" w:rsidR="00A85DF0" w:rsidRPr="00195D26" w:rsidRDefault="00A85DF0" w:rsidP="00855BDD">
            <w:pPr>
              <w:ind w:firstLine="0"/>
              <w:rPr>
                <w:rFonts w:ascii="Times New Roman" w:hAnsi="Times New Roman"/>
                <w:sz w:val="20"/>
              </w:rPr>
            </w:pPr>
            <w:r w:rsidRPr="00195D26">
              <w:rPr>
                <w:rFonts w:ascii="Times New Roman" w:hAnsi="Times New Roman"/>
                <w:sz w:val="20"/>
              </w:rPr>
              <w:t>Mujer</w:t>
            </w:r>
          </w:p>
        </w:tc>
      </w:tr>
    </w:tbl>
    <w:p w14:paraId="7C369FBE" w14:textId="77777777" w:rsidR="00A85DF0" w:rsidRPr="00A85DF0" w:rsidRDefault="00A85DF0" w:rsidP="00855BDD">
      <w:pPr>
        <w:ind w:firstLine="0"/>
        <w:rPr>
          <w:rFonts w:ascii="Times New Roman" w:hAnsi="Times New Roman"/>
          <w:b/>
          <w:sz w:val="24"/>
        </w:rPr>
      </w:pPr>
      <w:r w:rsidRPr="00A85DF0">
        <w:rPr>
          <w:rFonts w:ascii="Times New Roman" w:hAnsi="Times New Roman"/>
          <w:b/>
          <w:sz w:val="24"/>
        </w:rPr>
        <w:t xml:space="preserve"> </w:t>
      </w:r>
    </w:p>
    <w:p w14:paraId="569B3076" w14:textId="77777777" w:rsidR="00A85DF0" w:rsidRPr="00A85DF0" w:rsidRDefault="00A85DF0" w:rsidP="00855BDD">
      <w:pPr>
        <w:ind w:firstLine="0"/>
        <w:rPr>
          <w:rFonts w:ascii="Times New Roman" w:hAnsi="Times New Roman"/>
          <w:b/>
          <w:sz w:val="24"/>
        </w:rPr>
      </w:pPr>
      <w:r w:rsidRPr="00A85DF0">
        <w:rPr>
          <w:rFonts w:ascii="Times New Roman" w:hAnsi="Times New Roman"/>
          <w:b/>
          <w:sz w:val="24"/>
        </w:rPr>
        <w:t>Instrumentos de recogida de información</w:t>
      </w:r>
    </w:p>
    <w:p w14:paraId="1A9F0333" w14:textId="31CF58CC" w:rsidR="00A85DF0" w:rsidRPr="00FB0642" w:rsidRDefault="0088169A" w:rsidP="00855BDD">
      <w:pPr>
        <w:ind w:firstLine="0"/>
        <w:rPr>
          <w:rFonts w:ascii="Times New Roman" w:hAnsi="Times New Roman"/>
          <w:sz w:val="24"/>
        </w:rPr>
      </w:pPr>
      <w:r>
        <w:rPr>
          <w:rFonts w:ascii="Times New Roman" w:hAnsi="Times New Roman"/>
          <w:b/>
          <w:sz w:val="24"/>
        </w:rPr>
        <w:tab/>
      </w:r>
      <w:r>
        <w:rPr>
          <w:rFonts w:ascii="Times New Roman" w:hAnsi="Times New Roman"/>
          <w:sz w:val="24"/>
        </w:rPr>
        <w:t>Para la recogida de datos se empleó la entrevista semiestructurada y el grupo de discusión</w:t>
      </w:r>
      <w:r w:rsidR="00A539B8">
        <w:rPr>
          <w:rFonts w:ascii="Times New Roman" w:hAnsi="Times New Roman"/>
          <w:sz w:val="24"/>
        </w:rPr>
        <w:t xml:space="preserve"> </w:t>
      </w:r>
      <w:r w:rsidR="00A539B8" w:rsidRPr="00FB0642">
        <w:rPr>
          <w:rFonts w:ascii="Times New Roman" w:hAnsi="Times New Roman"/>
          <w:sz w:val="24"/>
        </w:rPr>
        <w:t>anteriormente descritos</w:t>
      </w:r>
      <w:r w:rsidRPr="00FB0642">
        <w:rPr>
          <w:rFonts w:ascii="Times New Roman" w:hAnsi="Times New Roman"/>
          <w:sz w:val="24"/>
        </w:rPr>
        <w:t xml:space="preserve">. </w:t>
      </w:r>
      <w:r w:rsidR="001F6094" w:rsidRPr="00FB0642">
        <w:rPr>
          <w:rFonts w:ascii="Times New Roman" w:hAnsi="Times New Roman"/>
          <w:sz w:val="24"/>
        </w:rPr>
        <w:t xml:space="preserve">La estrategia cualitativa, como plantean Huber (1992) y Ercikan y Roth (2006), </w:t>
      </w:r>
      <w:r w:rsidR="00AC5C4C" w:rsidRPr="00FB0642">
        <w:rPr>
          <w:rFonts w:ascii="Times New Roman" w:hAnsi="Times New Roman"/>
          <w:sz w:val="24"/>
        </w:rPr>
        <w:t>ofrece un conocimiento preciso sobre</w:t>
      </w:r>
      <w:r w:rsidR="001F6094" w:rsidRPr="00FB0642">
        <w:rPr>
          <w:rFonts w:ascii="Times New Roman" w:hAnsi="Times New Roman"/>
          <w:sz w:val="24"/>
        </w:rPr>
        <w:t xml:space="preserve"> la realidad objeto de análisis desde una perspectiva crítica</w:t>
      </w:r>
      <w:r w:rsidR="00AC5C4C" w:rsidRPr="00FB0642">
        <w:rPr>
          <w:rFonts w:ascii="Times New Roman" w:hAnsi="Times New Roman"/>
          <w:sz w:val="24"/>
        </w:rPr>
        <w:t xml:space="preserve"> y reflexiva</w:t>
      </w:r>
      <w:r w:rsidR="001F6094" w:rsidRPr="00FB0642">
        <w:rPr>
          <w:rFonts w:ascii="Times New Roman" w:hAnsi="Times New Roman"/>
          <w:sz w:val="24"/>
        </w:rPr>
        <w:t xml:space="preserve">. </w:t>
      </w:r>
      <w:r w:rsidR="00AC5C4C" w:rsidRPr="00FB0642">
        <w:rPr>
          <w:rFonts w:ascii="Times New Roman" w:hAnsi="Times New Roman"/>
          <w:sz w:val="24"/>
        </w:rPr>
        <w:t>Además, e</w:t>
      </w:r>
      <w:r w:rsidR="001F6094" w:rsidRPr="00FB0642">
        <w:rPr>
          <w:rFonts w:ascii="Times New Roman" w:hAnsi="Times New Roman"/>
          <w:sz w:val="24"/>
        </w:rPr>
        <w:t xml:space="preserve">l empleo de diferentes </w:t>
      </w:r>
      <w:r w:rsidRPr="00FB0642">
        <w:rPr>
          <w:rFonts w:ascii="Times New Roman" w:hAnsi="Times New Roman"/>
          <w:sz w:val="24"/>
        </w:rPr>
        <w:t xml:space="preserve">estrategias </w:t>
      </w:r>
      <w:r w:rsidR="001F6094" w:rsidRPr="00FB0642">
        <w:rPr>
          <w:rFonts w:ascii="Times New Roman" w:hAnsi="Times New Roman"/>
          <w:sz w:val="24"/>
        </w:rPr>
        <w:t>de recopilación de datos, permite triangular la información obtenida, aumentando de esta manera, los niveles de credibilidad y validez de los resultados.</w:t>
      </w:r>
    </w:p>
    <w:p w14:paraId="2498ECFA" w14:textId="26127DF4" w:rsidR="001F6094" w:rsidRDefault="00195D26" w:rsidP="00855BDD">
      <w:pPr>
        <w:ind w:firstLine="708"/>
        <w:rPr>
          <w:rFonts w:ascii="Times New Roman" w:hAnsi="Times New Roman"/>
          <w:sz w:val="24"/>
        </w:rPr>
      </w:pPr>
      <w:r w:rsidRPr="00FB0642">
        <w:rPr>
          <w:rFonts w:ascii="Times New Roman" w:hAnsi="Times New Roman"/>
          <w:sz w:val="24"/>
        </w:rPr>
        <w:lastRenderedPageBreak/>
        <w:t xml:space="preserve">La entrevista </w:t>
      </w:r>
      <w:r w:rsidR="00175D33" w:rsidRPr="00FB0642">
        <w:rPr>
          <w:rFonts w:ascii="Times New Roman" w:hAnsi="Times New Roman"/>
          <w:sz w:val="24"/>
        </w:rPr>
        <w:t>es</w:t>
      </w:r>
      <w:r w:rsidRPr="00FB0642">
        <w:rPr>
          <w:rFonts w:ascii="Times New Roman" w:hAnsi="Times New Roman"/>
          <w:sz w:val="24"/>
        </w:rPr>
        <w:t xml:space="preserve"> una herramienta</w:t>
      </w:r>
      <w:r w:rsidR="00175D33" w:rsidRPr="00FB0642">
        <w:rPr>
          <w:rFonts w:ascii="Times New Roman" w:hAnsi="Times New Roman"/>
          <w:sz w:val="24"/>
        </w:rPr>
        <w:t xml:space="preserve"> </w:t>
      </w:r>
      <w:r w:rsidR="001F6094" w:rsidRPr="00FB0642">
        <w:rPr>
          <w:rFonts w:ascii="Times New Roman" w:hAnsi="Times New Roman"/>
          <w:sz w:val="24"/>
        </w:rPr>
        <w:t xml:space="preserve">que permite </w:t>
      </w:r>
      <w:r w:rsidR="0088169A" w:rsidRPr="00FB0642">
        <w:rPr>
          <w:rFonts w:ascii="Times New Roman" w:hAnsi="Times New Roman"/>
          <w:sz w:val="24"/>
        </w:rPr>
        <w:t>recoger</w:t>
      </w:r>
      <w:r w:rsidR="001F6094" w:rsidRPr="00FB0642">
        <w:rPr>
          <w:rFonts w:ascii="Times New Roman" w:hAnsi="Times New Roman"/>
          <w:sz w:val="24"/>
        </w:rPr>
        <w:t xml:space="preserve"> los relatos </w:t>
      </w:r>
      <w:r w:rsidR="0088169A" w:rsidRPr="00FB0642">
        <w:rPr>
          <w:rFonts w:ascii="Times New Roman" w:hAnsi="Times New Roman"/>
          <w:sz w:val="24"/>
        </w:rPr>
        <w:t xml:space="preserve">para interpretar </w:t>
      </w:r>
      <w:r w:rsidR="001F6094" w:rsidRPr="00FB0642">
        <w:rPr>
          <w:rFonts w:ascii="Times New Roman" w:hAnsi="Times New Roman"/>
          <w:sz w:val="24"/>
        </w:rPr>
        <w:t xml:space="preserve">una determinada realidad. Para diseñar el guión de </w:t>
      </w:r>
      <w:r w:rsidR="00A539B8" w:rsidRPr="00FB0642">
        <w:rPr>
          <w:rFonts w:ascii="Times New Roman" w:hAnsi="Times New Roman"/>
          <w:sz w:val="24"/>
        </w:rPr>
        <w:t xml:space="preserve">la </w:t>
      </w:r>
      <w:r w:rsidR="001F6094" w:rsidRPr="00FB0642">
        <w:rPr>
          <w:rFonts w:ascii="Times New Roman" w:hAnsi="Times New Roman"/>
          <w:sz w:val="24"/>
        </w:rPr>
        <w:t xml:space="preserve">entrevista que orientó el desarrollo de las sesiones, y con la finalidad de aumentar su validez </w:t>
      </w:r>
      <w:r w:rsidR="001F6094">
        <w:rPr>
          <w:rFonts w:ascii="Times New Roman" w:hAnsi="Times New Roman"/>
          <w:sz w:val="24"/>
        </w:rPr>
        <w:t>y fi</w:t>
      </w:r>
      <w:r w:rsidR="00CD7AF8">
        <w:rPr>
          <w:rFonts w:ascii="Times New Roman" w:hAnsi="Times New Roman"/>
          <w:sz w:val="24"/>
        </w:rPr>
        <w:t>abilidad, se tuvieron en cuenta:</w:t>
      </w:r>
    </w:p>
    <w:p w14:paraId="1E45BA73" w14:textId="5A4490CC" w:rsidR="001F6094" w:rsidRDefault="00CD7AF8" w:rsidP="00855BDD">
      <w:pPr>
        <w:pStyle w:val="Prrafodelista"/>
        <w:numPr>
          <w:ilvl w:val="0"/>
          <w:numId w:val="15"/>
        </w:numPr>
        <w:rPr>
          <w:rFonts w:ascii="Times New Roman" w:hAnsi="Times New Roman"/>
          <w:sz w:val="24"/>
        </w:rPr>
      </w:pPr>
      <w:r>
        <w:rPr>
          <w:rFonts w:ascii="Times New Roman" w:hAnsi="Times New Roman"/>
          <w:sz w:val="24"/>
        </w:rPr>
        <w:t>L</w:t>
      </w:r>
      <w:r w:rsidR="00A85DF0" w:rsidRPr="001F6094">
        <w:rPr>
          <w:rFonts w:ascii="Times New Roman" w:hAnsi="Times New Roman"/>
          <w:sz w:val="24"/>
        </w:rPr>
        <w:t xml:space="preserve">as propuestas </w:t>
      </w:r>
      <w:r w:rsidR="001F6094">
        <w:rPr>
          <w:rFonts w:ascii="Times New Roman" w:hAnsi="Times New Roman"/>
          <w:sz w:val="24"/>
        </w:rPr>
        <w:t>planteadas por</w:t>
      </w:r>
      <w:r w:rsidR="00A85DF0" w:rsidRPr="001F6094">
        <w:rPr>
          <w:rFonts w:ascii="Times New Roman" w:hAnsi="Times New Roman"/>
          <w:sz w:val="24"/>
        </w:rPr>
        <w:t xml:space="preserve"> Grinnel (1997) </w:t>
      </w:r>
      <w:r w:rsidR="00FB0642">
        <w:rPr>
          <w:rFonts w:ascii="Times New Roman" w:hAnsi="Times New Roman"/>
          <w:sz w:val="24"/>
        </w:rPr>
        <w:t xml:space="preserve">con relación al </w:t>
      </w:r>
      <w:r w:rsidR="00A85DF0" w:rsidRPr="001F6094">
        <w:rPr>
          <w:rFonts w:ascii="Times New Roman" w:hAnsi="Times New Roman"/>
          <w:sz w:val="24"/>
        </w:rPr>
        <w:t>tipo de preguntas que se debe</w:t>
      </w:r>
      <w:r w:rsidR="001F6094">
        <w:rPr>
          <w:rFonts w:ascii="Times New Roman" w:hAnsi="Times New Roman"/>
          <w:sz w:val="24"/>
        </w:rPr>
        <w:t>n</w:t>
      </w:r>
      <w:r w:rsidR="00A85DF0" w:rsidRPr="001F6094">
        <w:rPr>
          <w:rFonts w:ascii="Times New Roman" w:hAnsi="Times New Roman"/>
          <w:sz w:val="24"/>
        </w:rPr>
        <w:t xml:space="preserve"> emplear en las entrevistas semiestructuradas: abiertas, de ejemplificación, estructurales, de contraste, etc.</w:t>
      </w:r>
    </w:p>
    <w:p w14:paraId="5B43F520" w14:textId="0057FCA0" w:rsidR="00A85DF0" w:rsidRPr="001F6094" w:rsidRDefault="00CD7AF8" w:rsidP="00855BDD">
      <w:pPr>
        <w:pStyle w:val="Prrafodelista"/>
        <w:numPr>
          <w:ilvl w:val="0"/>
          <w:numId w:val="15"/>
        </w:numPr>
        <w:rPr>
          <w:rFonts w:ascii="Times New Roman" w:hAnsi="Times New Roman"/>
          <w:sz w:val="24"/>
        </w:rPr>
      </w:pPr>
      <w:r>
        <w:rPr>
          <w:rFonts w:ascii="Times New Roman" w:hAnsi="Times New Roman"/>
          <w:sz w:val="24"/>
        </w:rPr>
        <w:t>L</w:t>
      </w:r>
      <w:r w:rsidR="00A85DF0" w:rsidRPr="001F6094">
        <w:rPr>
          <w:rFonts w:ascii="Times New Roman" w:hAnsi="Times New Roman"/>
          <w:sz w:val="24"/>
        </w:rPr>
        <w:t>os planteamientos de Rogers y Bouey (2005)</w:t>
      </w:r>
      <w:r w:rsidR="001F6094">
        <w:rPr>
          <w:rFonts w:ascii="Times New Roman" w:hAnsi="Times New Roman"/>
          <w:sz w:val="24"/>
        </w:rPr>
        <w:t>, quienes</w:t>
      </w:r>
      <w:r w:rsidR="00A85DF0" w:rsidRPr="001F6094">
        <w:rPr>
          <w:rFonts w:ascii="Times New Roman" w:hAnsi="Times New Roman"/>
          <w:sz w:val="24"/>
        </w:rPr>
        <w:t xml:space="preserve"> sostienen que las preguntas establecidas deben estar adaptadas a las características de los participantes, se debe generar un adecuado clima para el desarrollo de la entrevista (establecimiento del </w:t>
      </w:r>
      <w:r w:rsidR="00A85DF0" w:rsidRPr="001F6094">
        <w:rPr>
          <w:rFonts w:ascii="Times New Roman" w:hAnsi="Times New Roman"/>
          <w:i/>
          <w:sz w:val="24"/>
        </w:rPr>
        <w:t>rapport</w:t>
      </w:r>
      <w:r w:rsidR="00A85DF0" w:rsidRPr="001F6094">
        <w:rPr>
          <w:rFonts w:ascii="Times New Roman" w:hAnsi="Times New Roman"/>
          <w:sz w:val="24"/>
        </w:rPr>
        <w:t>), se debe ajustar el lenguaje y las normas a las condiciones de los entrevistados, etc.</w:t>
      </w:r>
    </w:p>
    <w:p w14:paraId="5048BE3D" w14:textId="00063E64" w:rsidR="00377371" w:rsidRPr="00FB0642" w:rsidRDefault="008610FC" w:rsidP="0088169A">
      <w:pPr>
        <w:ind w:firstLine="708"/>
        <w:rPr>
          <w:rFonts w:ascii="Times New Roman" w:hAnsi="Times New Roman"/>
          <w:sz w:val="24"/>
        </w:rPr>
      </w:pPr>
      <w:r>
        <w:rPr>
          <w:rFonts w:ascii="Times New Roman" w:hAnsi="Times New Roman"/>
          <w:sz w:val="24"/>
        </w:rPr>
        <w:t xml:space="preserve">Para planificar el grupo de discusión, se tuvieron en cuenta las </w:t>
      </w:r>
      <w:r w:rsidR="0088169A">
        <w:rPr>
          <w:rFonts w:ascii="Times New Roman" w:hAnsi="Times New Roman"/>
          <w:sz w:val="24"/>
        </w:rPr>
        <w:t xml:space="preserve">directrices </w:t>
      </w:r>
      <w:r w:rsidR="008C280A">
        <w:rPr>
          <w:rFonts w:ascii="Times New Roman" w:hAnsi="Times New Roman"/>
          <w:sz w:val="24"/>
        </w:rPr>
        <w:t>propuestas</w:t>
      </w:r>
      <w:r w:rsidR="0088169A">
        <w:rPr>
          <w:rFonts w:ascii="Times New Roman" w:hAnsi="Times New Roman"/>
          <w:sz w:val="24"/>
        </w:rPr>
        <w:t xml:space="preserve"> por Suárez (2005), </w:t>
      </w:r>
      <w:r w:rsidR="00FB0642">
        <w:rPr>
          <w:rFonts w:ascii="Times New Roman" w:hAnsi="Times New Roman"/>
          <w:sz w:val="24"/>
        </w:rPr>
        <w:t>con relación</w:t>
      </w:r>
      <w:r w:rsidR="00E5661E" w:rsidRPr="00A539B8">
        <w:rPr>
          <w:rFonts w:ascii="Times New Roman" w:hAnsi="Times New Roman"/>
          <w:sz w:val="24"/>
        </w:rPr>
        <w:t xml:space="preserve"> </w:t>
      </w:r>
      <w:r w:rsidR="00377371">
        <w:rPr>
          <w:rFonts w:ascii="Times New Roman" w:hAnsi="Times New Roman"/>
          <w:sz w:val="24"/>
        </w:rPr>
        <w:t xml:space="preserve">al </w:t>
      </w:r>
      <w:r w:rsidR="00377371" w:rsidRPr="00A85DF0">
        <w:rPr>
          <w:rFonts w:ascii="Times New Roman" w:hAnsi="Times New Roman"/>
          <w:sz w:val="24"/>
        </w:rPr>
        <w:t xml:space="preserve">número de participantes que debe colaborar como informantes </w:t>
      </w:r>
      <w:r w:rsidR="00377371" w:rsidRPr="00FB0642">
        <w:rPr>
          <w:rFonts w:ascii="Times New Roman" w:hAnsi="Times New Roman"/>
          <w:sz w:val="24"/>
        </w:rPr>
        <w:t xml:space="preserve">clave, </w:t>
      </w:r>
      <w:r w:rsidR="00E5661E" w:rsidRPr="00FB0642">
        <w:rPr>
          <w:rFonts w:ascii="Times New Roman" w:hAnsi="Times New Roman"/>
          <w:sz w:val="24"/>
        </w:rPr>
        <w:t xml:space="preserve">los </w:t>
      </w:r>
      <w:r w:rsidR="00377371" w:rsidRPr="00FB0642">
        <w:rPr>
          <w:rFonts w:ascii="Times New Roman" w:hAnsi="Times New Roman"/>
          <w:sz w:val="24"/>
        </w:rPr>
        <w:t xml:space="preserve">criterios de selección de las personas participantes, </w:t>
      </w:r>
      <w:r w:rsidR="00E5661E" w:rsidRPr="00FB0642">
        <w:rPr>
          <w:rFonts w:ascii="Times New Roman" w:hAnsi="Times New Roman"/>
          <w:sz w:val="24"/>
        </w:rPr>
        <w:t>el</w:t>
      </w:r>
      <w:r w:rsidR="00377371" w:rsidRPr="00FB0642">
        <w:rPr>
          <w:rFonts w:ascii="Times New Roman" w:hAnsi="Times New Roman"/>
          <w:sz w:val="24"/>
        </w:rPr>
        <w:t xml:space="preserve"> tiempo de administración recomendado de esta prueba, etc. </w:t>
      </w:r>
    </w:p>
    <w:p w14:paraId="591FC2F0" w14:textId="3D0A6379" w:rsidR="00A85DF0" w:rsidRPr="00FB0642" w:rsidRDefault="0088169A" w:rsidP="002F5D83">
      <w:pPr>
        <w:ind w:firstLine="708"/>
        <w:rPr>
          <w:rFonts w:ascii="Times New Roman" w:hAnsi="Times New Roman"/>
          <w:sz w:val="24"/>
        </w:rPr>
      </w:pPr>
      <w:r w:rsidRPr="00FB0642">
        <w:rPr>
          <w:rFonts w:ascii="Times New Roman" w:hAnsi="Times New Roman"/>
          <w:sz w:val="24"/>
        </w:rPr>
        <w:t>El</w:t>
      </w:r>
      <w:r w:rsidR="00377371" w:rsidRPr="00FB0642">
        <w:rPr>
          <w:rFonts w:ascii="Times New Roman" w:hAnsi="Times New Roman"/>
          <w:sz w:val="24"/>
        </w:rPr>
        <w:t xml:space="preserve"> guión </w:t>
      </w:r>
      <w:r w:rsidR="000459A0" w:rsidRPr="00FB0642">
        <w:rPr>
          <w:rFonts w:ascii="Times New Roman" w:hAnsi="Times New Roman"/>
          <w:sz w:val="24"/>
        </w:rPr>
        <w:t>definitivo</w:t>
      </w:r>
      <w:r w:rsidR="000459A0" w:rsidRPr="00FB0642">
        <w:rPr>
          <w:rFonts w:ascii="Times New Roman" w:hAnsi="Times New Roman"/>
          <w:sz w:val="24"/>
        </w:rPr>
        <w:t xml:space="preserve"> </w:t>
      </w:r>
      <w:r w:rsidR="00377371" w:rsidRPr="00FB0642">
        <w:rPr>
          <w:rFonts w:ascii="Times New Roman" w:hAnsi="Times New Roman"/>
          <w:sz w:val="24"/>
        </w:rPr>
        <w:t xml:space="preserve">de </w:t>
      </w:r>
      <w:r w:rsidR="000459A0">
        <w:rPr>
          <w:rFonts w:ascii="Times New Roman" w:hAnsi="Times New Roman"/>
          <w:sz w:val="24"/>
        </w:rPr>
        <w:t xml:space="preserve">la </w:t>
      </w:r>
      <w:r w:rsidR="00377371" w:rsidRPr="00FB0642">
        <w:rPr>
          <w:rFonts w:ascii="Times New Roman" w:hAnsi="Times New Roman"/>
          <w:sz w:val="24"/>
        </w:rPr>
        <w:t xml:space="preserve">entrevista </w:t>
      </w:r>
      <w:r w:rsidR="00A539B8" w:rsidRPr="00FB0642">
        <w:rPr>
          <w:rFonts w:ascii="Times New Roman" w:hAnsi="Times New Roman"/>
          <w:sz w:val="24"/>
        </w:rPr>
        <w:t xml:space="preserve">(1) </w:t>
      </w:r>
      <w:r w:rsidR="002F5D83" w:rsidRPr="00FB0642">
        <w:rPr>
          <w:rFonts w:ascii="Times New Roman" w:hAnsi="Times New Roman"/>
          <w:sz w:val="24"/>
        </w:rPr>
        <w:t>quedó configurado</w:t>
      </w:r>
      <w:r w:rsidR="000459A0">
        <w:rPr>
          <w:rFonts w:ascii="Times New Roman" w:hAnsi="Times New Roman"/>
          <w:sz w:val="24"/>
        </w:rPr>
        <w:t xml:space="preserve"> con</w:t>
      </w:r>
      <w:r w:rsidR="002F5D83" w:rsidRPr="00FB0642">
        <w:rPr>
          <w:rFonts w:ascii="Times New Roman" w:hAnsi="Times New Roman"/>
          <w:sz w:val="24"/>
        </w:rPr>
        <w:t xml:space="preserve"> </w:t>
      </w:r>
      <w:r w:rsidR="00377371" w:rsidRPr="00FB0642">
        <w:rPr>
          <w:rFonts w:ascii="Times New Roman" w:hAnsi="Times New Roman"/>
          <w:sz w:val="24"/>
        </w:rPr>
        <w:t>un total de 11 preguntas</w:t>
      </w:r>
      <w:r w:rsidR="002F5D83" w:rsidRPr="00FB0642">
        <w:rPr>
          <w:rFonts w:ascii="Times New Roman" w:hAnsi="Times New Roman"/>
          <w:sz w:val="24"/>
        </w:rPr>
        <w:t xml:space="preserve">. Por otra parte, el guión para el debate grupal </w:t>
      </w:r>
      <w:r w:rsidR="00A539B8" w:rsidRPr="00FB0642">
        <w:rPr>
          <w:rFonts w:ascii="Times New Roman" w:hAnsi="Times New Roman"/>
          <w:sz w:val="24"/>
        </w:rPr>
        <w:t xml:space="preserve">(2) </w:t>
      </w:r>
      <w:r w:rsidR="002F5D83" w:rsidRPr="00FB0642">
        <w:rPr>
          <w:rFonts w:ascii="Times New Roman" w:hAnsi="Times New Roman"/>
          <w:sz w:val="24"/>
        </w:rPr>
        <w:t>estaba compuesto por 21 preguntas.</w:t>
      </w:r>
      <w:r w:rsidR="00377371" w:rsidRPr="00FB0642">
        <w:rPr>
          <w:rFonts w:ascii="Times New Roman" w:hAnsi="Times New Roman"/>
          <w:sz w:val="24"/>
        </w:rPr>
        <w:t xml:space="preserve"> </w:t>
      </w:r>
      <w:r w:rsidR="00E5661E" w:rsidRPr="00FB0642">
        <w:rPr>
          <w:rFonts w:ascii="Times New Roman" w:hAnsi="Times New Roman"/>
          <w:sz w:val="24"/>
        </w:rPr>
        <w:t>E</w:t>
      </w:r>
      <w:r w:rsidR="00377371" w:rsidRPr="00FB0642">
        <w:rPr>
          <w:rFonts w:ascii="Times New Roman" w:hAnsi="Times New Roman"/>
          <w:sz w:val="24"/>
        </w:rPr>
        <w:t xml:space="preserve">l </w:t>
      </w:r>
      <w:r w:rsidR="00E5661E" w:rsidRPr="00FB0642">
        <w:rPr>
          <w:rFonts w:ascii="Times New Roman" w:hAnsi="Times New Roman"/>
          <w:sz w:val="24"/>
        </w:rPr>
        <w:t>gui</w:t>
      </w:r>
      <w:r w:rsidR="00C22902" w:rsidRPr="00FB0642">
        <w:rPr>
          <w:rFonts w:ascii="Times New Roman" w:hAnsi="Times New Roman"/>
          <w:sz w:val="24"/>
        </w:rPr>
        <w:t>ó</w:t>
      </w:r>
      <w:r w:rsidR="00E5661E" w:rsidRPr="00FB0642">
        <w:rPr>
          <w:rFonts w:ascii="Times New Roman" w:hAnsi="Times New Roman"/>
          <w:sz w:val="24"/>
        </w:rPr>
        <w:t>n</w:t>
      </w:r>
      <w:r w:rsidR="00377371" w:rsidRPr="00FB0642">
        <w:rPr>
          <w:rFonts w:ascii="Times New Roman" w:hAnsi="Times New Roman"/>
          <w:sz w:val="24"/>
        </w:rPr>
        <w:t xml:space="preserve"> </w:t>
      </w:r>
      <w:r w:rsidR="00E5661E" w:rsidRPr="00FB0642">
        <w:rPr>
          <w:rFonts w:ascii="Times New Roman" w:hAnsi="Times New Roman"/>
          <w:sz w:val="24"/>
        </w:rPr>
        <w:t xml:space="preserve">de preguntas, tanto </w:t>
      </w:r>
      <w:r w:rsidR="00C22902" w:rsidRPr="00FB0642">
        <w:rPr>
          <w:rFonts w:ascii="Times New Roman" w:hAnsi="Times New Roman"/>
          <w:sz w:val="24"/>
        </w:rPr>
        <w:t>de</w:t>
      </w:r>
      <w:r w:rsidR="00E5661E" w:rsidRPr="00FB0642">
        <w:rPr>
          <w:rFonts w:ascii="Times New Roman" w:hAnsi="Times New Roman"/>
          <w:sz w:val="24"/>
        </w:rPr>
        <w:t xml:space="preserve"> la entrevista como </w:t>
      </w:r>
      <w:r w:rsidR="00C22902" w:rsidRPr="00FB0642">
        <w:rPr>
          <w:rFonts w:ascii="Times New Roman" w:hAnsi="Times New Roman"/>
          <w:sz w:val="24"/>
        </w:rPr>
        <w:t>d</w:t>
      </w:r>
      <w:r w:rsidR="00E5661E" w:rsidRPr="00FB0642">
        <w:rPr>
          <w:rFonts w:ascii="Times New Roman" w:hAnsi="Times New Roman"/>
          <w:sz w:val="24"/>
        </w:rPr>
        <w:t xml:space="preserve">el </w:t>
      </w:r>
      <w:r w:rsidR="00377371" w:rsidRPr="00FB0642">
        <w:rPr>
          <w:rFonts w:ascii="Times New Roman" w:hAnsi="Times New Roman"/>
          <w:sz w:val="24"/>
        </w:rPr>
        <w:t xml:space="preserve">grupo de discusión, giró en torno a las siguientes dimensiones: </w:t>
      </w:r>
      <w:r w:rsidR="00A85DF0" w:rsidRPr="00FB0642">
        <w:rPr>
          <w:rFonts w:ascii="Times New Roman" w:hAnsi="Times New Roman"/>
          <w:sz w:val="24"/>
        </w:rPr>
        <w:t>utilidad de la guía docente (</w:t>
      </w:r>
      <w:r w:rsidR="00A539B8" w:rsidRPr="00FB0642">
        <w:rPr>
          <w:rFonts w:ascii="Times New Roman" w:hAnsi="Times New Roman"/>
          <w:sz w:val="24"/>
        </w:rPr>
        <w:t>a</w:t>
      </w:r>
      <w:r w:rsidR="00A85DF0" w:rsidRPr="00FB0642">
        <w:rPr>
          <w:rFonts w:ascii="Times New Roman" w:hAnsi="Times New Roman"/>
          <w:sz w:val="24"/>
        </w:rPr>
        <w:t>), diseño de la guía docente (</w:t>
      </w:r>
      <w:r w:rsidR="00A539B8" w:rsidRPr="00FB0642">
        <w:rPr>
          <w:rFonts w:ascii="Times New Roman" w:hAnsi="Times New Roman"/>
          <w:sz w:val="24"/>
        </w:rPr>
        <w:t>b</w:t>
      </w:r>
      <w:r w:rsidR="00A85DF0" w:rsidRPr="00FB0642">
        <w:rPr>
          <w:rFonts w:ascii="Times New Roman" w:hAnsi="Times New Roman"/>
          <w:sz w:val="24"/>
        </w:rPr>
        <w:t>), contenido y estructura de la guía docente (</w:t>
      </w:r>
      <w:r w:rsidR="00A539B8" w:rsidRPr="00FB0642">
        <w:rPr>
          <w:rFonts w:ascii="Times New Roman" w:hAnsi="Times New Roman"/>
          <w:sz w:val="24"/>
        </w:rPr>
        <w:t>c</w:t>
      </w:r>
      <w:r w:rsidR="00377371" w:rsidRPr="00FB0642">
        <w:rPr>
          <w:rFonts w:ascii="Times New Roman" w:hAnsi="Times New Roman"/>
          <w:sz w:val="24"/>
        </w:rPr>
        <w:t>)</w:t>
      </w:r>
      <w:r w:rsidR="00A85DF0" w:rsidRPr="00FB0642">
        <w:rPr>
          <w:rFonts w:ascii="Times New Roman" w:hAnsi="Times New Roman"/>
          <w:sz w:val="24"/>
        </w:rPr>
        <w:t xml:space="preserve"> y cumplimiento de la propuesta recogida en la guía docente (</w:t>
      </w:r>
      <w:r w:rsidR="00A539B8" w:rsidRPr="00FB0642">
        <w:rPr>
          <w:rFonts w:ascii="Times New Roman" w:hAnsi="Times New Roman"/>
          <w:sz w:val="24"/>
        </w:rPr>
        <w:t>d</w:t>
      </w:r>
      <w:r w:rsidR="00A85DF0" w:rsidRPr="00FB0642">
        <w:rPr>
          <w:rFonts w:ascii="Times New Roman" w:hAnsi="Times New Roman"/>
          <w:sz w:val="24"/>
        </w:rPr>
        <w:t>).</w:t>
      </w:r>
    </w:p>
    <w:p w14:paraId="7195C5B1" w14:textId="7F37C3AC" w:rsidR="00A85DF0" w:rsidRPr="00A85DF0" w:rsidRDefault="00A85DF0" w:rsidP="00855BDD">
      <w:pPr>
        <w:ind w:firstLine="0"/>
        <w:rPr>
          <w:rFonts w:ascii="Times New Roman" w:hAnsi="Times New Roman"/>
          <w:b/>
          <w:sz w:val="24"/>
        </w:rPr>
      </w:pPr>
    </w:p>
    <w:p w14:paraId="19CE146F" w14:textId="77777777" w:rsidR="00A85DF0" w:rsidRPr="00A85DF0" w:rsidRDefault="00A85DF0" w:rsidP="00855BDD">
      <w:pPr>
        <w:ind w:firstLine="0"/>
        <w:rPr>
          <w:rFonts w:ascii="Times New Roman" w:hAnsi="Times New Roman"/>
          <w:b/>
          <w:sz w:val="24"/>
        </w:rPr>
      </w:pPr>
      <w:r w:rsidRPr="00A85DF0">
        <w:rPr>
          <w:rFonts w:ascii="Times New Roman" w:hAnsi="Times New Roman"/>
          <w:b/>
          <w:sz w:val="24"/>
        </w:rPr>
        <w:t>Procedimiento de recogida de datos y análisis de información</w:t>
      </w:r>
    </w:p>
    <w:p w14:paraId="24FD0863" w14:textId="1A4A101C" w:rsidR="00A85DF0" w:rsidRPr="00A85DF0" w:rsidRDefault="00A85DF0" w:rsidP="00855BDD">
      <w:pPr>
        <w:ind w:firstLine="0"/>
        <w:rPr>
          <w:rFonts w:ascii="Times New Roman" w:hAnsi="Times New Roman"/>
          <w:sz w:val="24"/>
        </w:rPr>
      </w:pPr>
      <w:r w:rsidRPr="00A85DF0">
        <w:rPr>
          <w:rFonts w:ascii="Times New Roman" w:hAnsi="Times New Roman"/>
          <w:sz w:val="24"/>
        </w:rPr>
        <w:t xml:space="preserve">        </w:t>
      </w:r>
      <w:r w:rsidRPr="00A85DF0">
        <w:rPr>
          <w:rFonts w:ascii="Times New Roman" w:hAnsi="Times New Roman"/>
          <w:sz w:val="24"/>
        </w:rPr>
        <w:tab/>
        <w:t xml:space="preserve">Tras el proceso de construcción y diseño </w:t>
      </w:r>
      <w:r w:rsidR="002F5D83">
        <w:rPr>
          <w:rFonts w:ascii="Times New Roman" w:hAnsi="Times New Roman"/>
          <w:sz w:val="24"/>
        </w:rPr>
        <w:t>de las herramientas,</w:t>
      </w:r>
      <w:r w:rsidRPr="00A85DF0">
        <w:rPr>
          <w:rFonts w:ascii="Times New Roman" w:hAnsi="Times New Roman"/>
          <w:sz w:val="24"/>
        </w:rPr>
        <w:t xml:space="preserve"> se llevó a cabo la recogida de información.</w:t>
      </w:r>
      <w:r w:rsidR="00C85AC1">
        <w:rPr>
          <w:rFonts w:ascii="Times New Roman" w:hAnsi="Times New Roman"/>
          <w:sz w:val="24"/>
        </w:rPr>
        <w:t xml:space="preserve"> </w:t>
      </w:r>
      <w:r w:rsidRPr="00A85DF0">
        <w:rPr>
          <w:rFonts w:ascii="Times New Roman" w:hAnsi="Times New Roman"/>
          <w:sz w:val="24"/>
        </w:rPr>
        <w:t>El procedimiento que se empleó para la entrevista fue el siguiente:</w:t>
      </w:r>
    </w:p>
    <w:p w14:paraId="1A377497" w14:textId="46C06D79" w:rsidR="00A85DF0" w:rsidRPr="00AC5C4C" w:rsidRDefault="00A85DF0" w:rsidP="00855BDD">
      <w:pPr>
        <w:pStyle w:val="Prrafodelista"/>
        <w:numPr>
          <w:ilvl w:val="0"/>
          <w:numId w:val="18"/>
        </w:numPr>
        <w:ind w:left="709" w:hanging="349"/>
        <w:rPr>
          <w:rFonts w:ascii="Times New Roman" w:hAnsi="Times New Roman"/>
          <w:sz w:val="24"/>
        </w:rPr>
      </w:pPr>
      <w:r w:rsidRPr="00AC5C4C">
        <w:rPr>
          <w:rFonts w:ascii="Times New Roman" w:hAnsi="Times New Roman"/>
          <w:sz w:val="24"/>
        </w:rPr>
        <w:t>Cada entrevistador (n=5; un entrevistador por área de conocimiento) se puso en contacto con los profesores de las áreas de conocimiento objeto de análisis con la intención de explicarles las finalidades del estudio y solicitar su participación voluntaria en una entrevista semiestructurada.</w:t>
      </w:r>
    </w:p>
    <w:p w14:paraId="5C80884A" w14:textId="64D95A8C" w:rsidR="00A85DF0" w:rsidRPr="00AC5C4C" w:rsidRDefault="00A85DF0" w:rsidP="00855BDD">
      <w:pPr>
        <w:pStyle w:val="Prrafodelista"/>
        <w:numPr>
          <w:ilvl w:val="0"/>
          <w:numId w:val="18"/>
        </w:numPr>
        <w:ind w:left="709" w:hanging="349"/>
        <w:rPr>
          <w:rFonts w:ascii="Times New Roman" w:hAnsi="Times New Roman"/>
          <w:sz w:val="24"/>
        </w:rPr>
      </w:pPr>
      <w:r w:rsidRPr="00AC5C4C">
        <w:rPr>
          <w:rFonts w:ascii="Times New Roman" w:hAnsi="Times New Roman"/>
          <w:sz w:val="24"/>
        </w:rPr>
        <w:t>Una vez las personas aceptaron participar como informantes clave en la entrevista, fueron convocadas a una hora, fecha y lugar que, previamente fue acordada entre entrevistador y entrevistado.</w:t>
      </w:r>
    </w:p>
    <w:p w14:paraId="49F96B01" w14:textId="197D22B4" w:rsidR="00A85DF0" w:rsidRPr="00A85DF0" w:rsidRDefault="00A85DF0" w:rsidP="00855BDD">
      <w:pPr>
        <w:ind w:firstLine="708"/>
        <w:rPr>
          <w:rFonts w:ascii="Times New Roman" w:hAnsi="Times New Roman"/>
          <w:sz w:val="24"/>
        </w:rPr>
      </w:pPr>
      <w:r w:rsidRPr="00A85DF0">
        <w:rPr>
          <w:rFonts w:ascii="Times New Roman" w:hAnsi="Times New Roman"/>
          <w:sz w:val="24"/>
        </w:rPr>
        <w:t xml:space="preserve">Para la elaboración de la sesión del grupo de discusión, se fijó una fecha, hora y lugar a conveniencia entre </w:t>
      </w:r>
      <w:r w:rsidR="003A78F8" w:rsidRPr="00A85DF0">
        <w:rPr>
          <w:rFonts w:ascii="Times New Roman" w:hAnsi="Times New Roman"/>
          <w:sz w:val="24"/>
        </w:rPr>
        <w:t xml:space="preserve">los informantes clave </w:t>
      </w:r>
      <w:r w:rsidR="003A78F8">
        <w:rPr>
          <w:rFonts w:ascii="Times New Roman" w:hAnsi="Times New Roman"/>
          <w:sz w:val="24"/>
        </w:rPr>
        <w:t xml:space="preserve">y </w:t>
      </w:r>
      <w:r w:rsidRPr="00A85DF0">
        <w:rPr>
          <w:rFonts w:ascii="Times New Roman" w:hAnsi="Times New Roman"/>
          <w:sz w:val="24"/>
        </w:rPr>
        <w:t>el moderador. Además, los días previos al grupo de discusión, se envió un correo electrónico a cada uno de los participantes recordándoles los detalles de la cita e informándoles sobre las cuestiones básicas que se iban a tratar.</w:t>
      </w:r>
    </w:p>
    <w:p w14:paraId="008AE354" w14:textId="2E3D62D4" w:rsidR="00A85DF0" w:rsidRDefault="00AC5C4C" w:rsidP="00855BDD">
      <w:pPr>
        <w:ind w:firstLine="708"/>
        <w:rPr>
          <w:rFonts w:ascii="Times New Roman" w:hAnsi="Times New Roman"/>
          <w:sz w:val="24"/>
        </w:rPr>
      </w:pPr>
      <w:r>
        <w:rPr>
          <w:rFonts w:ascii="Times New Roman" w:hAnsi="Times New Roman"/>
          <w:sz w:val="24"/>
        </w:rPr>
        <w:t xml:space="preserve">Siguiendo las propuestas de McMillan y Schumacher (2005) y </w:t>
      </w:r>
      <w:r w:rsidRPr="00A85DF0">
        <w:rPr>
          <w:rFonts w:ascii="Times New Roman" w:hAnsi="Times New Roman"/>
          <w:sz w:val="24"/>
        </w:rPr>
        <w:t>Hernández, Fernández-Collado y Baptista</w:t>
      </w:r>
      <w:r>
        <w:rPr>
          <w:rFonts w:ascii="Times New Roman" w:hAnsi="Times New Roman"/>
          <w:sz w:val="24"/>
        </w:rPr>
        <w:t xml:space="preserve"> (2006) para aumentar la validez y fiabilidad del proceso y </w:t>
      </w:r>
      <w:r w:rsidRPr="002F5D83">
        <w:rPr>
          <w:rFonts w:ascii="Times New Roman" w:hAnsi="Times New Roman"/>
          <w:sz w:val="24"/>
        </w:rPr>
        <w:t xml:space="preserve">de los resultados, en la aplicación de las entrevistas y </w:t>
      </w:r>
      <w:r w:rsidR="002F5D83" w:rsidRPr="002F5D83">
        <w:rPr>
          <w:rFonts w:ascii="Times New Roman" w:hAnsi="Times New Roman"/>
          <w:sz w:val="24"/>
        </w:rPr>
        <w:t>la celebración d</w:t>
      </w:r>
      <w:r w:rsidRPr="002F5D83">
        <w:rPr>
          <w:rFonts w:ascii="Times New Roman" w:hAnsi="Times New Roman"/>
          <w:sz w:val="24"/>
        </w:rPr>
        <w:t>el grupo de</w:t>
      </w:r>
      <w:r>
        <w:rPr>
          <w:rFonts w:ascii="Times New Roman" w:hAnsi="Times New Roman"/>
          <w:sz w:val="24"/>
        </w:rPr>
        <w:t xml:space="preserve"> discusión, se emplearon diferentes estrategias como: </w:t>
      </w:r>
      <w:r w:rsidR="00BE5CDE">
        <w:rPr>
          <w:rFonts w:ascii="Times New Roman" w:hAnsi="Times New Roman"/>
          <w:sz w:val="24"/>
        </w:rPr>
        <w:t>participación de</w:t>
      </w:r>
      <w:r w:rsidR="00A85DF0" w:rsidRPr="00A85DF0">
        <w:rPr>
          <w:rFonts w:ascii="Times New Roman" w:hAnsi="Times New Roman"/>
          <w:sz w:val="24"/>
        </w:rPr>
        <w:t xml:space="preserve"> distintos investigadores en las sesiones de recogida de datos, anotación de las incidencias que eran de interés para los objetivos propuestos en el estudio, grabación digital de las pruebas, realización de transcripciones narrativas </w:t>
      </w:r>
      <w:r w:rsidR="00A85DF0" w:rsidRPr="00A85DF0">
        <w:rPr>
          <w:rFonts w:ascii="Times New Roman" w:hAnsi="Times New Roman"/>
          <w:i/>
          <w:sz w:val="24"/>
        </w:rPr>
        <w:t>verbatim</w:t>
      </w:r>
      <w:r w:rsidR="00A85DF0" w:rsidRPr="00A85DF0">
        <w:rPr>
          <w:rFonts w:ascii="Times New Roman" w:hAnsi="Times New Roman"/>
          <w:sz w:val="24"/>
        </w:rPr>
        <w:t xml:space="preserve"> de la información obtenida y proceso de codificación y análisis realizado por varios investigadores</w:t>
      </w:r>
      <w:r>
        <w:rPr>
          <w:rFonts w:ascii="Times New Roman" w:hAnsi="Times New Roman"/>
          <w:sz w:val="24"/>
        </w:rPr>
        <w:t>.</w:t>
      </w:r>
    </w:p>
    <w:p w14:paraId="339D3B9B" w14:textId="68FA30BE" w:rsidR="00AC5C4C" w:rsidRDefault="00AC5C4C" w:rsidP="00855BDD">
      <w:pPr>
        <w:ind w:firstLine="0"/>
        <w:rPr>
          <w:rFonts w:ascii="Times New Roman" w:hAnsi="Times New Roman"/>
          <w:sz w:val="24"/>
        </w:rPr>
      </w:pPr>
    </w:p>
    <w:p w14:paraId="612CEA20" w14:textId="54616870" w:rsidR="00AC5C4C" w:rsidRPr="00AC5C4C" w:rsidRDefault="00AC5C4C" w:rsidP="00855BDD">
      <w:pPr>
        <w:ind w:firstLine="0"/>
        <w:rPr>
          <w:rFonts w:ascii="Times New Roman" w:hAnsi="Times New Roman"/>
          <w:sz w:val="24"/>
        </w:rPr>
      </w:pPr>
      <w:r w:rsidRPr="00AC5C4C">
        <w:rPr>
          <w:rFonts w:ascii="Times New Roman" w:hAnsi="Times New Roman"/>
          <w:b/>
          <w:sz w:val="24"/>
        </w:rPr>
        <w:t>Análisis e interpretación de la información</w:t>
      </w:r>
    </w:p>
    <w:p w14:paraId="6DB196C5" w14:textId="71B6E0BD" w:rsidR="002F5D83" w:rsidRDefault="00292813" w:rsidP="002F5D83">
      <w:pPr>
        <w:ind w:firstLine="708"/>
        <w:rPr>
          <w:rFonts w:ascii="Times New Roman" w:hAnsi="Times New Roman"/>
          <w:sz w:val="24"/>
        </w:rPr>
      </w:pPr>
      <w:r>
        <w:rPr>
          <w:rFonts w:ascii="Times New Roman" w:hAnsi="Times New Roman"/>
          <w:sz w:val="24"/>
        </w:rPr>
        <w:lastRenderedPageBreak/>
        <w:t>Para el tratamiento de la información se han seguido las propuestas de Miles y Huberman (</w:t>
      </w:r>
      <w:r w:rsidR="00E3486E">
        <w:rPr>
          <w:rFonts w:ascii="Times New Roman" w:hAnsi="Times New Roman"/>
          <w:sz w:val="24"/>
        </w:rPr>
        <w:t>1994</w:t>
      </w:r>
      <w:r>
        <w:rPr>
          <w:rFonts w:ascii="Times New Roman" w:hAnsi="Times New Roman"/>
          <w:sz w:val="24"/>
        </w:rPr>
        <w:t>) y Strauss y Corbin (2002)</w:t>
      </w:r>
      <w:r w:rsidR="002F5D83">
        <w:rPr>
          <w:rFonts w:ascii="Times New Roman" w:hAnsi="Times New Roman"/>
          <w:sz w:val="24"/>
        </w:rPr>
        <w:t>, en cuanto a la reducción de los datos, la disposición y transformación</w:t>
      </w:r>
      <w:r w:rsidR="009D1565">
        <w:rPr>
          <w:rFonts w:ascii="Times New Roman" w:hAnsi="Times New Roman"/>
          <w:sz w:val="24"/>
        </w:rPr>
        <w:t>,</w:t>
      </w:r>
      <w:r w:rsidR="002F5D83">
        <w:rPr>
          <w:rFonts w:ascii="Times New Roman" w:hAnsi="Times New Roman"/>
          <w:sz w:val="24"/>
        </w:rPr>
        <w:t xml:space="preserve"> y la verificación de los resultados. Como apoyo metodológico al análisis de los datos cualitativo</w:t>
      </w:r>
      <w:r>
        <w:rPr>
          <w:rFonts w:ascii="Times New Roman" w:hAnsi="Times New Roman"/>
          <w:sz w:val="24"/>
        </w:rPr>
        <w:t xml:space="preserve">, se </w:t>
      </w:r>
      <w:r w:rsidR="002F5D83">
        <w:rPr>
          <w:rFonts w:ascii="Times New Roman" w:hAnsi="Times New Roman"/>
          <w:sz w:val="24"/>
        </w:rPr>
        <w:t>utilizó el software informático Atlas.Ti 6. En concreto, se siguió el siguiente procedimiento:</w:t>
      </w:r>
    </w:p>
    <w:p w14:paraId="6894AD80" w14:textId="6D86604D" w:rsidR="00292813" w:rsidRDefault="00292813" w:rsidP="00855BDD">
      <w:pPr>
        <w:pStyle w:val="Prrafodelista"/>
        <w:numPr>
          <w:ilvl w:val="0"/>
          <w:numId w:val="25"/>
        </w:numPr>
        <w:ind w:left="709"/>
        <w:rPr>
          <w:rFonts w:ascii="Times New Roman" w:hAnsi="Times New Roman"/>
          <w:sz w:val="24"/>
        </w:rPr>
      </w:pPr>
      <w:r>
        <w:rPr>
          <w:rFonts w:ascii="Times New Roman" w:hAnsi="Times New Roman"/>
          <w:sz w:val="24"/>
        </w:rPr>
        <w:t xml:space="preserve">Construcción de </w:t>
      </w:r>
      <w:r w:rsidR="003A78F8">
        <w:rPr>
          <w:rFonts w:ascii="Times New Roman" w:hAnsi="Times New Roman"/>
          <w:sz w:val="24"/>
        </w:rPr>
        <w:t>una</w:t>
      </w:r>
      <w:r>
        <w:rPr>
          <w:rFonts w:ascii="Times New Roman" w:hAnsi="Times New Roman"/>
          <w:sz w:val="24"/>
        </w:rPr>
        <w:t xml:space="preserve"> unidad hermenéutica, donde se incluyeron los documentos primarios de las entrevistas realizadas y del grupo de discusión celebrado.</w:t>
      </w:r>
    </w:p>
    <w:p w14:paraId="2CF54E32" w14:textId="5DE01E1D" w:rsidR="00292813" w:rsidRDefault="00292813" w:rsidP="00855BDD">
      <w:pPr>
        <w:pStyle w:val="Prrafodelista"/>
        <w:numPr>
          <w:ilvl w:val="0"/>
          <w:numId w:val="25"/>
        </w:numPr>
        <w:ind w:left="709"/>
        <w:rPr>
          <w:rFonts w:ascii="Times New Roman" w:hAnsi="Times New Roman"/>
          <w:sz w:val="24"/>
        </w:rPr>
      </w:pPr>
      <w:r>
        <w:rPr>
          <w:rFonts w:ascii="Times New Roman" w:hAnsi="Times New Roman"/>
          <w:sz w:val="24"/>
        </w:rPr>
        <w:t xml:space="preserve">Reducción de la información, identificando las citas </w:t>
      </w:r>
      <w:r w:rsidR="00E3486E">
        <w:rPr>
          <w:rFonts w:ascii="Times New Roman" w:hAnsi="Times New Roman"/>
          <w:sz w:val="24"/>
        </w:rPr>
        <w:t>más relevantes que ofrecían respuesta a los objetivos propuestos en el estudio.</w:t>
      </w:r>
    </w:p>
    <w:p w14:paraId="6F8542F2" w14:textId="5B02634E" w:rsidR="00E3486E" w:rsidRPr="00E3486E" w:rsidRDefault="00E3486E" w:rsidP="00855BDD">
      <w:pPr>
        <w:pStyle w:val="Prrafodelista"/>
        <w:numPr>
          <w:ilvl w:val="0"/>
          <w:numId w:val="25"/>
        </w:numPr>
        <w:ind w:left="709"/>
        <w:rPr>
          <w:rFonts w:ascii="Times New Roman" w:hAnsi="Times New Roman"/>
          <w:sz w:val="24"/>
        </w:rPr>
      </w:pPr>
      <w:r>
        <w:rPr>
          <w:rFonts w:ascii="Times New Roman" w:hAnsi="Times New Roman"/>
          <w:sz w:val="24"/>
        </w:rPr>
        <w:t xml:space="preserve">Codificación de los relatos obtenidos a partir de las categorías previamente establecidas y </w:t>
      </w:r>
      <w:r w:rsidR="00AF72B2">
        <w:rPr>
          <w:rFonts w:ascii="Times New Roman" w:hAnsi="Times New Roman"/>
          <w:sz w:val="24"/>
        </w:rPr>
        <w:t xml:space="preserve">de </w:t>
      </w:r>
      <w:r>
        <w:rPr>
          <w:rFonts w:ascii="Times New Roman" w:hAnsi="Times New Roman"/>
          <w:sz w:val="24"/>
        </w:rPr>
        <w:t xml:space="preserve">las </w:t>
      </w:r>
      <w:r w:rsidR="00AF72B2">
        <w:rPr>
          <w:rFonts w:ascii="Times New Roman" w:hAnsi="Times New Roman"/>
          <w:sz w:val="24"/>
        </w:rPr>
        <w:t xml:space="preserve">dimensiones </w:t>
      </w:r>
      <w:r>
        <w:rPr>
          <w:rFonts w:ascii="Times New Roman" w:hAnsi="Times New Roman"/>
          <w:sz w:val="24"/>
        </w:rPr>
        <w:t xml:space="preserve">que emergieron del análisis de los documentos primarios. </w:t>
      </w:r>
    </w:p>
    <w:p w14:paraId="0624CCDB" w14:textId="77777777" w:rsidR="00A85DF0" w:rsidRDefault="00A85DF0" w:rsidP="00855BDD">
      <w:pPr>
        <w:pStyle w:val="Numeracion"/>
        <w:numPr>
          <w:ilvl w:val="0"/>
          <w:numId w:val="0"/>
        </w:numPr>
        <w:ind w:left="340" w:hanging="340"/>
        <w:rPr>
          <w:rFonts w:ascii="Times New Roman" w:hAnsi="Times New Roman"/>
          <w:sz w:val="24"/>
        </w:rPr>
      </w:pPr>
    </w:p>
    <w:p w14:paraId="57EEF5B7" w14:textId="6EC49213" w:rsidR="007B74D9" w:rsidRPr="00412A91" w:rsidRDefault="001B7310" w:rsidP="00855BDD">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2E82A996" w14:textId="78A01E48" w:rsidR="00F77FFE" w:rsidRPr="00F77FFE" w:rsidRDefault="00F77FFE" w:rsidP="00855BDD">
      <w:pPr>
        <w:ind w:firstLine="708"/>
        <w:rPr>
          <w:rFonts w:ascii="Times New Roman" w:hAnsi="Times New Roman"/>
          <w:sz w:val="24"/>
        </w:rPr>
      </w:pPr>
      <w:r w:rsidRPr="00F77FFE">
        <w:rPr>
          <w:rFonts w:ascii="Times New Roman" w:hAnsi="Times New Roman"/>
          <w:sz w:val="24"/>
        </w:rPr>
        <w:t xml:space="preserve">Los resultados del estudio se presentan agrupados en torno a las dimensiones planteadas en el trabajo. </w:t>
      </w:r>
    </w:p>
    <w:p w14:paraId="65B0BAE7" w14:textId="77777777" w:rsidR="00F77FFE" w:rsidRDefault="00F77FFE" w:rsidP="00855BDD">
      <w:pPr>
        <w:ind w:firstLine="0"/>
      </w:pPr>
    </w:p>
    <w:p w14:paraId="47FF20D6" w14:textId="6B32EA3A" w:rsidR="00F77FFE" w:rsidRPr="00F77FFE" w:rsidRDefault="00F77FFE" w:rsidP="00855BDD">
      <w:pPr>
        <w:ind w:firstLine="0"/>
        <w:rPr>
          <w:rFonts w:ascii="Times New Roman" w:hAnsi="Times New Roman"/>
          <w:b/>
          <w:i/>
          <w:sz w:val="24"/>
        </w:rPr>
      </w:pPr>
      <w:r w:rsidRPr="00F77FFE">
        <w:rPr>
          <w:rFonts w:ascii="Times New Roman" w:hAnsi="Times New Roman"/>
          <w:b/>
          <w:i/>
          <w:sz w:val="24"/>
        </w:rPr>
        <w:t>Utilidad de la guía docente</w:t>
      </w:r>
    </w:p>
    <w:p w14:paraId="219B8151" w14:textId="341254EB"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Uno de los objetivos fundamentales del trabajo realizado era determinar qué utilidad y qué usos se hacía de la guía docente </w:t>
      </w:r>
      <w:r w:rsidR="00B0596D">
        <w:rPr>
          <w:rFonts w:ascii="Times New Roman" w:hAnsi="Times New Roman"/>
          <w:sz w:val="24"/>
        </w:rPr>
        <w:t xml:space="preserve">en el contexto de la </w:t>
      </w:r>
      <w:r w:rsidR="002F5D83">
        <w:rPr>
          <w:rFonts w:ascii="Times New Roman" w:hAnsi="Times New Roman"/>
          <w:sz w:val="24"/>
        </w:rPr>
        <w:t>Universidad de La Laguna</w:t>
      </w:r>
      <w:r w:rsidR="00B0596D">
        <w:rPr>
          <w:rFonts w:ascii="Times New Roman" w:hAnsi="Times New Roman"/>
          <w:sz w:val="24"/>
        </w:rPr>
        <w:t>.</w:t>
      </w:r>
      <w:r w:rsidRPr="00F77FFE">
        <w:rPr>
          <w:rFonts w:ascii="Times New Roman" w:hAnsi="Times New Roman"/>
          <w:sz w:val="24"/>
        </w:rPr>
        <w:t xml:space="preserve"> </w:t>
      </w:r>
      <w:r w:rsidR="00A5357A">
        <w:rPr>
          <w:rFonts w:ascii="Times New Roman" w:hAnsi="Times New Roman"/>
          <w:sz w:val="24"/>
        </w:rPr>
        <w:t>A</w:t>
      </w:r>
      <w:r w:rsidRPr="00F77FFE">
        <w:rPr>
          <w:rFonts w:ascii="Times New Roman" w:hAnsi="Times New Roman"/>
          <w:sz w:val="24"/>
        </w:rPr>
        <w:t xml:space="preserve"> partir de los relatos ofrecidos por el profesorado en las entrevistas y por los informantes clave en el grupo de discusión</w:t>
      </w:r>
      <w:r w:rsidR="00A5357A">
        <w:rPr>
          <w:rFonts w:ascii="Times New Roman" w:hAnsi="Times New Roman"/>
          <w:sz w:val="24"/>
        </w:rPr>
        <w:t xml:space="preserve"> se pudieron identificar tres </w:t>
      </w:r>
      <w:r w:rsidRPr="00F77FFE">
        <w:rPr>
          <w:rFonts w:ascii="Times New Roman" w:hAnsi="Times New Roman"/>
          <w:sz w:val="24"/>
        </w:rPr>
        <w:t>utilidades básicas de la guía docente.</w:t>
      </w:r>
    </w:p>
    <w:p w14:paraId="544D133A" w14:textId="5C468216" w:rsidR="00BD116E" w:rsidRDefault="00B0596D" w:rsidP="00855BDD">
      <w:pPr>
        <w:ind w:firstLine="709"/>
        <w:rPr>
          <w:rFonts w:ascii="Times New Roman" w:hAnsi="Times New Roman"/>
          <w:i/>
          <w:sz w:val="24"/>
        </w:rPr>
      </w:pPr>
      <w:r>
        <w:rPr>
          <w:rFonts w:ascii="Times New Roman" w:hAnsi="Times New Roman"/>
          <w:sz w:val="24"/>
        </w:rPr>
        <w:t xml:space="preserve">En primer lugar, </w:t>
      </w:r>
      <w:r w:rsidR="00F77FFE" w:rsidRPr="00F77FFE">
        <w:rPr>
          <w:rFonts w:ascii="Times New Roman" w:hAnsi="Times New Roman"/>
          <w:sz w:val="24"/>
        </w:rPr>
        <w:t>una parte del profesorado entrevistado (30,0%)</w:t>
      </w:r>
      <w:r>
        <w:rPr>
          <w:rFonts w:ascii="Times New Roman" w:hAnsi="Times New Roman"/>
          <w:sz w:val="24"/>
        </w:rPr>
        <w:t xml:space="preserve"> reflejó que </w:t>
      </w:r>
      <w:r w:rsidR="00F77FFE" w:rsidRPr="00F77FFE">
        <w:rPr>
          <w:rFonts w:ascii="Times New Roman" w:hAnsi="Times New Roman"/>
          <w:sz w:val="24"/>
        </w:rPr>
        <w:t xml:space="preserve">la guía docente </w:t>
      </w:r>
      <w:r>
        <w:rPr>
          <w:rFonts w:ascii="Times New Roman" w:hAnsi="Times New Roman"/>
          <w:sz w:val="24"/>
        </w:rPr>
        <w:t>era</w:t>
      </w:r>
      <w:r w:rsidR="00F77FFE" w:rsidRPr="00F77FFE">
        <w:rPr>
          <w:rFonts w:ascii="Times New Roman" w:hAnsi="Times New Roman"/>
          <w:sz w:val="24"/>
        </w:rPr>
        <w:t xml:space="preserve"> un recurso fundamentalmente administrativo y se emplea</w:t>
      </w:r>
      <w:r>
        <w:rPr>
          <w:rFonts w:ascii="Times New Roman" w:hAnsi="Times New Roman"/>
          <w:sz w:val="24"/>
        </w:rPr>
        <w:t>ba</w:t>
      </w:r>
      <w:r w:rsidR="00F77FFE" w:rsidRPr="00F77FFE">
        <w:rPr>
          <w:rFonts w:ascii="Times New Roman" w:hAnsi="Times New Roman"/>
          <w:sz w:val="24"/>
        </w:rPr>
        <w:t xml:space="preserve"> poco a lo largo de</w:t>
      </w:r>
      <w:r w:rsidR="00530539">
        <w:rPr>
          <w:rFonts w:ascii="Times New Roman" w:hAnsi="Times New Roman"/>
          <w:sz w:val="24"/>
        </w:rPr>
        <w:t>l</w:t>
      </w:r>
      <w:r w:rsidR="00F77FFE" w:rsidRPr="00F77FFE">
        <w:rPr>
          <w:rFonts w:ascii="Times New Roman" w:hAnsi="Times New Roman"/>
          <w:sz w:val="24"/>
        </w:rPr>
        <w:t xml:space="preserve"> proceso de enseñanza aprendizaje</w:t>
      </w:r>
      <w:r w:rsidR="006F00F2">
        <w:rPr>
          <w:rFonts w:ascii="Times New Roman" w:hAnsi="Times New Roman"/>
          <w:sz w:val="24"/>
        </w:rPr>
        <w:t xml:space="preserve"> (</w:t>
      </w:r>
      <w:r w:rsidR="00535C26">
        <w:rPr>
          <w:rFonts w:ascii="Times New Roman" w:hAnsi="Times New Roman"/>
          <w:sz w:val="24"/>
        </w:rPr>
        <w:t>tabla 3</w:t>
      </w:r>
      <w:r w:rsidR="006F00F2">
        <w:rPr>
          <w:rFonts w:ascii="Times New Roman" w:hAnsi="Times New Roman"/>
          <w:sz w:val="24"/>
        </w:rPr>
        <w:t>)</w:t>
      </w:r>
      <w:r w:rsidR="00F77FFE" w:rsidRPr="00F77FFE">
        <w:rPr>
          <w:rFonts w:ascii="Times New Roman" w:hAnsi="Times New Roman"/>
          <w:sz w:val="24"/>
        </w:rPr>
        <w:t xml:space="preserve">. </w:t>
      </w:r>
      <w:r w:rsidR="00530539">
        <w:rPr>
          <w:rFonts w:ascii="Times New Roman" w:hAnsi="Times New Roman"/>
          <w:sz w:val="24"/>
        </w:rPr>
        <w:t>En este sentido</w:t>
      </w:r>
      <w:r w:rsidR="00A5357A">
        <w:rPr>
          <w:rFonts w:ascii="Times New Roman" w:hAnsi="Times New Roman"/>
          <w:sz w:val="24"/>
        </w:rPr>
        <w:t>, u</w:t>
      </w:r>
      <w:r>
        <w:rPr>
          <w:rFonts w:ascii="Times New Roman" w:hAnsi="Times New Roman"/>
          <w:sz w:val="24"/>
        </w:rPr>
        <w:t xml:space="preserve">no de los relatos recogidos </w:t>
      </w:r>
      <w:r w:rsidR="002F5D83">
        <w:rPr>
          <w:rFonts w:ascii="Times New Roman" w:hAnsi="Times New Roman"/>
          <w:sz w:val="24"/>
        </w:rPr>
        <w:t>indicó</w:t>
      </w:r>
      <w:r w:rsidR="00F77FFE" w:rsidRPr="00F77FFE">
        <w:rPr>
          <w:rFonts w:ascii="Times New Roman" w:hAnsi="Times New Roman"/>
          <w:sz w:val="24"/>
        </w:rPr>
        <w:t xml:space="preserve"> que </w:t>
      </w:r>
      <w:r w:rsidR="00F77FFE" w:rsidRPr="00F77FFE">
        <w:rPr>
          <w:rFonts w:ascii="Times New Roman" w:hAnsi="Times New Roman"/>
          <w:i/>
          <w:sz w:val="24"/>
        </w:rPr>
        <w:t xml:space="preserve">“no es una herramienta que yo emplee de manera cotidiana en el </w:t>
      </w:r>
      <w:r w:rsidR="00F77FFE" w:rsidRPr="00BD116E">
        <w:rPr>
          <w:rFonts w:ascii="Times New Roman" w:hAnsi="Times New Roman"/>
          <w:i/>
          <w:sz w:val="24"/>
        </w:rPr>
        <w:t>aula”</w:t>
      </w:r>
      <w:r w:rsidR="00F77FFE" w:rsidRPr="00BD116E">
        <w:rPr>
          <w:rFonts w:ascii="Times New Roman" w:hAnsi="Times New Roman"/>
          <w:sz w:val="24"/>
        </w:rPr>
        <w:t xml:space="preserve"> (EIA1</w:t>
      </w:r>
      <w:r w:rsidR="00530539" w:rsidRPr="00BD116E">
        <w:rPr>
          <w:rFonts w:ascii="Times New Roman" w:hAnsi="Times New Roman"/>
          <w:sz w:val="24"/>
        </w:rPr>
        <w:t>), ya</w:t>
      </w:r>
      <w:r w:rsidR="00A5357A" w:rsidRPr="00BD116E">
        <w:rPr>
          <w:rFonts w:ascii="Times New Roman" w:hAnsi="Times New Roman"/>
          <w:sz w:val="24"/>
        </w:rPr>
        <w:t xml:space="preserve"> que </w:t>
      </w:r>
      <w:r w:rsidR="00F77FFE" w:rsidRPr="00BD116E">
        <w:rPr>
          <w:rFonts w:ascii="Times New Roman" w:hAnsi="Times New Roman"/>
          <w:i/>
          <w:sz w:val="24"/>
        </w:rPr>
        <w:t>“</w:t>
      </w:r>
      <w:r w:rsidR="00A5357A" w:rsidRPr="00BD116E">
        <w:rPr>
          <w:rFonts w:ascii="Times New Roman" w:hAnsi="Times New Roman"/>
          <w:i/>
          <w:sz w:val="24"/>
        </w:rPr>
        <w:t>l</w:t>
      </w:r>
      <w:r w:rsidR="00F77FFE" w:rsidRPr="00BD116E">
        <w:rPr>
          <w:rFonts w:ascii="Times New Roman" w:hAnsi="Times New Roman"/>
          <w:i/>
          <w:sz w:val="24"/>
        </w:rPr>
        <w:t>a guía, tal y como está recogida es un documento que está pensando para la burocracia, para que después, cuando vengan l</w:t>
      </w:r>
      <w:r w:rsidR="008941B7">
        <w:rPr>
          <w:rFonts w:ascii="Times New Roman" w:hAnsi="Times New Roman"/>
          <w:i/>
          <w:sz w:val="24"/>
        </w:rPr>
        <w:t>as acreditaciones</w:t>
      </w:r>
      <w:r w:rsidR="00F77FFE" w:rsidRPr="00BD116E">
        <w:rPr>
          <w:rFonts w:ascii="Times New Roman" w:hAnsi="Times New Roman"/>
          <w:i/>
          <w:sz w:val="24"/>
        </w:rPr>
        <w:t xml:space="preserve">, encaje en </w:t>
      </w:r>
      <w:r w:rsidR="008941B7">
        <w:rPr>
          <w:rFonts w:ascii="Times New Roman" w:hAnsi="Times New Roman"/>
          <w:i/>
          <w:sz w:val="24"/>
        </w:rPr>
        <w:t xml:space="preserve">la memoria de verificación </w:t>
      </w:r>
      <w:r w:rsidR="00F77FFE" w:rsidRPr="00BD116E">
        <w:rPr>
          <w:rFonts w:ascii="Times New Roman" w:hAnsi="Times New Roman"/>
          <w:i/>
          <w:sz w:val="24"/>
        </w:rPr>
        <w:t>(...) Es un instrumento de control para las evaluaciones externas que hagan del título, no sirve</w:t>
      </w:r>
      <w:r w:rsidR="00F77FFE" w:rsidRPr="00F77FFE">
        <w:rPr>
          <w:rFonts w:ascii="Times New Roman" w:hAnsi="Times New Roman"/>
          <w:i/>
          <w:sz w:val="24"/>
        </w:rPr>
        <w:t xml:space="preserve"> para otra cosa” (ECSJ2). </w:t>
      </w:r>
    </w:p>
    <w:p w14:paraId="2D9BFC9C" w14:textId="77777777" w:rsidR="00535C26" w:rsidRDefault="00535C26" w:rsidP="00855BDD">
      <w:pPr>
        <w:ind w:firstLine="709"/>
        <w:rPr>
          <w:rFonts w:ascii="Times New Roman" w:hAnsi="Times New Roman"/>
          <w:i/>
          <w:sz w:val="24"/>
        </w:rPr>
      </w:pPr>
    </w:p>
    <w:p w14:paraId="16E74B2D" w14:textId="77DFEF75" w:rsidR="00535C26" w:rsidRPr="00802559" w:rsidRDefault="00535C26" w:rsidP="00535C26">
      <w:pPr>
        <w:ind w:firstLine="0"/>
        <w:rPr>
          <w:rFonts w:ascii="Times New Roman" w:hAnsi="Times New Roman"/>
          <w:b/>
          <w:sz w:val="24"/>
        </w:rPr>
      </w:pPr>
      <w:r w:rsidRPr="00802559">
        <w:rPr>
          <w:rFonts w:ascii="Times New Roman" w:hAnsi="Times New Roman"/>
          <w:b/>
          <w:sz w:val="24"/>
        </w:rPr>
        <w:t xml:space="preserve">Tabla </w:t>
      </w:r>
      <w:r>
        <w:rPr>
          <w:rFonts w:ascii="Times New Roman" w:hAnsi="Times New Roman"/>
          <w:b/>
          <w:sz w:val="24"/>
        </w:rPr>
        <w:t>3</w:t>
      </w:r>
      <w:r w:rsidRPr="00802559">
        <w:rPr>
          <w:rFonts w:ascii="Times New Roman" w:hAnsi="Times New Roman"/>
          <w:b/>
          <w:sz w:val="24"/>
        </w:rPr>
        <w:t xml:space="preserve">. </w:t>
      </w:r>
    </w:p>
    <w:p w14:paraId="423BBD90" w14:textId="7EA0CD2A" w:rsidR="00535C26" w:rsidRPr="00A85DF0" w:rsidRDefault="00535C26" w:rsidP="00535C26">
      <w:pPr>
        <w:ind w:firstLine="0"/>
        <w:rPr>
          <w:rFonts w:ascii="Times New Roman" w:hAnsi="Times New Roman"/>
          <w:i/>
          <w:sz w:val="24"/>
        </w:rPr>
      </w:pPr>
      <w:r>
        <w:rPr>
          <w:rFonts w:ascii="Times New Roman" w:hAnsi="Times New Roman"/>
          <w:i/>
          <w:sz w:val="24"/>
        </w:rPr>
        <w:t>Utilidad de la guía docente</w:t>
      </w:r>
    </w:p>
    <w:tbl>
      <w:tblPr>
        <w:tblW w:w="8348" w:type="dxa"/>
        <w:jc w:val="center"/>
        <w:tblBorders>
          <w:insideH w:val="nil"/>
          <w:insideV w:val="nil"/>
        </w:tblBorders>
        <w:tblLayout w:type="fixed"/>
        <w:tblLook w:val="0600" w:firstRow="0" w:lastRow="0" w:firstColumn="0" w:lastColumn="0" w:noHBand="1" w:noVBand="1"/>
      </w:tblPr>
      <w:tblGrid>
        <w:gridCol w:w="6421"/>
        <w:gridCol w:w="1927"/>
      </w:tblGrid>
      <w:tr w:rsidR="00535C26" w:rsidRPr="00195D26" w14:paraId="60B9571B" w14:textId="77777777" w:rsidTr="00535C26">
        <w:trPr>
          <w:trHeight w:val="199"/>
          <w:jc w:val="center"/>
        </w:trPr>
        <w:tc>
          <w:tcPr>
            <w:tcW w:w="6421" w:type="dxa"/>
            <w:tcBorders>
              <w:top w:val="nil"/>
              <w:left w:val="nil"/>
              <w:bottom w:val="single" w:sz="18" w:space="0" w:color="000000"/>
              <w:right w:val="nil"/>
            </w:tcBorders>
            <w:shd w:val="clear" w:color="auto" w:fill="auto"/>
            <w:tcMar>
              <w:top w:w="100" w:type="dxa"/>
              <w:left w:w="100" w:type="dxa"/>
              <w:bottom w:w="100" w:type="dxa"/>
              <w:right w:w="100" w:type="dxa"/>
            </w:tcMar>
            <w:hideMark/>
          </w:tcPr>
          <w:p w14:paraId="1612CA32" w14:textId="265BEAC2" w:rsidR="00535C26" w:rsidRPr="00195D26" w:rsidRDefault="00535C26" w:rsidP="00A81146">
            <w:pPr>
              <w:ind w:firstLine="0"/>
              <w:rPr>
                <w:rFonts w:ascii="Times New Roman" w:hAnsi="Times New Roman"/>
                <w:b/>
                <w:sz w:val="20"/>
              </w:rPr>
            </w:pPr>
          </w:p>
        </w:tc>
        <w:tc>
          <w:tcPr>
            <w:tcW w:w="1927" w:type="dxa"/>
            <w:tcBorders>
              <w:top w:val="single" w:sz="18" w:space="0" w:color="auto"/>
              <w:left w:val="nil"/>
              <w:bottom w:val="single" w:sz="18" w:space="0" w:color="000000"/>
              <w:right w:val="single" w:sz="8" w:space="0" w:color="000000"/>
            </w:tcBorders>
            <w:shd w:val="clear" w:color="auto" w:fill="auto"/>
            <w:tcMar>
              <w:top w:w="100" w:type="dxa"/>
              <w:left w:w="100" w:type="dxa"/>
              <w:bottom w:w="100" w:type="dxa"/>
              <w:right w:w="100" w:type="dxa"/>
            </w:tcMar>
            <w:vAlign w:val="center"/>
            <w:hideMark/>
          </w:tcPr>
          <w:p w14:paraId="69E394B0" w14:textId="1A12AF41" w:rsidR="00535C26" w:rsidRPr="00195D26" w:rsidRDefault="00535C26" w:rsidP="00535C26">
            <w:pPr>
              <w:ind w:firstLine="0"/>
              <w:jc w:val="center"/>
              <w:rPr>
                <w:rFonts w:ascii="Times New Roman" w:hAnsi="Times New Roman"/>
                <w:b/>
                <w:sz w:val="20"/>
              </w:rPr>
            </w:pPr>
            <w:r>
              <w:rPr>
                <w:rFonts w:ascii="Times New Roman" w:hAnsi="Times New Roman"/>
                <w:b/>
                <w:sz w:val="20"/>
              </w:rPr>
              <w:t>Porcentaje</w:t>
            </w:r>
          </w:p>
        </w:tc>
      </w:tr>
      <w:tr w:rsidR="00535C26" w:rsidRPr="00195D26" w14:paraId="0A58356D" w14:textId="77777777" w:rsidTr="00535C26">
        <w:trPr>
          <w:trHeight w:val="191"/>
          <w:jc w:val="center"/>
        </w:trPr>
        <w:tc>
          <w:tcPr>
            <w:tcW w:w="6421" w:type="dxa"/>
            <w:tcBorders>
              <w:top w:val="nil"/>
              <w:left w:val="nil"/>
              <w:bottom w:val="single" w:sz="8" w:space="0" w:color="000000"/>
              <w:right w:val="nil"/>
            </w:tcBorders>
            <w:shd w:val="clear" w:color="auto" w:fill="auto"/>
            <w:tcMar>
              <w:top w:w="100" w:type="dxa"/>
              <w:left w:w="100" w:type="dxa"/>
              <w:bottom w:w="100" w:type="dxa"/>
              <w:right w:w="100" w:type="dxa"/>
            </w:tcMar>
          </w:tcPr>
          <w:p w14:paraId="414FA0A4" w14:textId="71AAD2F3" w:rsidR="00535C26" w:rsidRPr="00195D26" w:rsidRDefault="00535C26" w:rsidP="00A81146">
            <w:pPr>
              <w:ind w:firstLine="0"/>
              <w:rPr>
                <w:rFonts w:ascii="Times New Roman" w:hAnsi="Times New Roman"/>
                <w:sz w:val="20"/>
              </w:rPr>
            </w:pPr>
            <w:r>
              <w:rPr>
                <w:rFonts w:ascii="Times New Roman" w:hAnsi="Times New Roman"/>
                <w:sz w:val="20"/>
              </w:rPr>
              <w:t>Documento administrativo</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D29AC2" w14:textId="1488B735" w:rsidR="00535C26" w:rsidRPr="00195D26" w:rsidRDefault="00535C26" w:rsidP="00535C26">
            <w:pPr>
              <w:ind w:firstLine="0"/>
              <w:jc w:val="center"/>
              <w:rPr>
                <w:rFonts w:ascii="Times New Roman" w:hAnsi="Times New Roman"/>
                <w:sz w:val="20"/>
              </w:rPr>
            </w:pPr>
            <w:r>
              <w:rPr>
                <w:rFonts w:ascii="Times New Roman" w:hAnsi="Times New Roman"/>
                <w:sz w:val="20"/>
              </w:rPr>
              <w:t>30,0%</w:t>
            </w:r>
          </w:p>
        </w:tc>
      </w:tr>
      <w:tr w:rsidR="00535C26" w:rsidRPr="00195D26" w14:paraId="13EBC47C" w14:textId="77777777" w:rsidTr="00535C26">
        <w:trPr>
          <w:trHeight w:val="191"/>
          <w:jc w:val="center"/>
        </w:trPr>
        <w:tc>
          <w:tcPr>
            <w:tcW w:w="6421" w:type="dxa"/>
            <w:tcBorders>
              <w:top w:val="nil"/>
              <w:left w:val="nil"/>
              <w:bottom w:val="single" w:sz="8" w:space="0" w:color="000000"/>
              <w:right w:val="nil"/>
            </w:tcBorders>
            <w:shd w:val="clear" w:color="auto" w:fill="auto"/>
            <w:tcMar>
              <w:top w:w="100" w:type="dxa"/>
              <w:left w:w="100" w:type="dxa"/>
              <w:bottom w:w="100" w:type="dxa"/>
              <w:right w:w="100" w:type="dxa"/>
            </w:tcMar>
          </w:tcPr>
          <w:p w14:paraId="7B68C751" w14:textId="6FFB2A97" w:rsidR="00535C26" w:rsidRPr="00195D26" w:rsidRDefault="00535C26" w:rsidP="00A81146">
            <w:pPr>
              <w:ind w:firstLine="0"/>
              <w:rPr>
                <w:rFonts w:ascii="Times New Roman" w:hAnsi="Times New Roman"/>
                <w:sz w:val="20"/>
              </w:rPr>
            </w:pPr>
            <w:r>
              <w:rPr>
                <w:rFonts w:ascii="Times New Roman" w:hAnsi="Times New Roman"/>
                <w:sz w:val="20"/>
              </w:rPr>
              <w:t>Documento formativo</w:t>
            </w:r>
          </w:p>
        </w:tc>
        <w:tc>
          <w:tcPr>
            <w:tcW w:w="19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DB36FD3" w14:textId="64C6F86A" w:rsidR="00535C26" w:rsidRPr="00195D26" w:rsidRDefault="00535C26" w:rsidP="00535C26">
            <w:pPr>
              <w:ind w:firstLine="0"/>
              <w:jc w:val="center"/>
              <w:rPr>
                <w:rFonts w:ascii="Times New Roman" w:hAnsi="Times New Roman"/>
                <w:sz w:val="20"/>
              </w:rPr>
            </w:pPr>
            <w:r>
              <w:rPr>
                <w:rFonts w:ascii="Times New Roman" w:hAnsi="Times New Roman"/>
                <w:sz w:val="20"/>
              </w:rPr>
              <w:t>50,0%</w:t>
            </w:r>
          </w:p>
        </w:tc>
      </w:tr>
      <w:tr w:rsidR="00535C26" w:rsidRPr="00195D26" w14:paraId="0233C2B8" w14:textId="77777777" w:rsidTr="00535C26">
        <w:trPr>
          <w:trHeight w:val="191"/>
          <w:jc w:val="center"/>
        </w:trPr>
        <w:tc>
          <w:tcPr>
            <w:tcW w:w="6421" w:type="dxa"/>
            <w:tcBorders>
              <w:top w:val="nil"/>
              <w:left w:val="nil"/>
              <w:bottom w:val="single" w:sz="18" w:space="0" w:color="000000"/>
              <w:right w:val="nil"/>
            </w:tcBorders>
            <w:shd w:val="clear" w:color="auto" w:fill="auto"/>
            <w:tcMar>
              <w:top w:w="100" w:type="dxa"/>
              <w:left w:w="100" w:type="dxa"/>
              <w:bottom w:w="100" w:type="dxa"/>
              <w:right w:w="100" w:type="dxa"/>
            </w:tcMar>
          </w:tcPr>
          <w:p w14:paraId="56DD79C0" w14:textId="0393A02E" w:rsidR="00535C26" w:rsidRPr="00195D26" w:rsidRDefault="00535C26" w:rsidP="00A81146">
            <w:pPr>
              <w:ind w:firstLine="0"/>
              <w:rPr>
                <w:rFonts w:ascii="Times New Roman" w:hAnsi="Times New Roman"/>
                <w:sz w:val="20"/>
              </w:rPr>
            </w:pPr>
            <w:r>
              <w:rPr>
                <w:rFonts w:ascii="Times New Roman" w:hAnsi="Times New Roman"/>
                <w:sz w:val="20"/>
              </w:rPr>
              <w:t>Documento administrativo y formativo</w:t>
            </w:r>
          </w:p>
        </w:tc>
        <w:tc>
          <w:tcPr>
            <w:tcW w:w="1927" w:type="dxa"/>
            <w:tcBorders>
              <w:top w:val="nil"/>
              <w:left w:val="nil"/>
              <w:bottom w:val="single" w:sz="18" w:space="0" w:color="000000"/>
              <w:right w:val="single" w:sz="8" w:space="0" w:color="000000"/>
            </w:tcBorders>
            <w:shd w:val="clear" w:color="auto" w:fill="auto"/>
            <w:tcMar>
              <w:top w:w="100" w:type="dxa"/>
              <w:left w:w="100" w:type="dxa"/>
              <w:bottom w:w="100" w:type="dxa"/>
              <w:right w:w="100" w:type="dxa"/>
            </w:tcMar>
            <w:vAlign w:val="center"/>
          </w:tcPr>
          <w:p w14:paraId="09949724" w14:textId="36370ECF" w:rsidR="00535C26" w:rsidRPr="00195D26" w:rsidRDefault="00535C26" w:rsidP="00535C26">
            <w:pPr>
              <w:ind w:firstLine="0"/>
              <w:jc w:val="center"/>
              <w:rPr>
                <w:rFonts w:ascii="Times New Roman" w:hAnsi="Times New Roman"/>
                <w:sz w:val="20"/>
              </w:rPr>
            </w:pPr>
            <w:r>
              <w:rPr>
                <w:rFonts w:ascii="Times New Roman" w:hAnsi="Times New Roman"/>
                <w:sz w:val="20"/>
              </w:rPr>
              <w:t>20,0%</w:t>
            </w:r>
          </w:p>
        </w:tc>
      </w:tr>
    </w:tbl>
    <w:p w14:paraId="3BE3DCA0" w14:textId="77777777" w:rsidR="00535C26" w:rsidRPr="00535C26" w:rsidRDefault="00535C26" w:rsidP="00535C26">
      <w:pPr>
        <w:ind w:firstLine="0"/>
        <w:rPr>
          <w:rFonts w:ascii="Times New Roman" w:hAnsi="Times New Roman"/>
          <w:sz w:val="24"/>
        </w:rPr>
      </w:pPr>
    </w:p>
    <w:p w14:paraId="4E86F4CA" w14:textId="3A300ED2" w:rsidR="00F77FFE" w:rsidRPr="00B0596D" w:rsidRDefault="00F77FFE" w:rsidP="00855BDD">
      <w:pPr>
        <w:ind w:firstLine="709"/>
        <w:rPr>
          <w:rFonts w:ascii="Times New Roman" w:hAnsi="Times New Roman"/>
          <w:i/>
          <w:sz w:val="24"/>
        </w:rPr>
      </w:pPr>
      <w:r w:rsidRPr="00F77FFE">
        <w:rPr>
          <w:rFonts w:ascii="Times New Roman" w:hAnsi="Times New Roman"/>
          <w:sz w:val="24"/>
        </w:rPr>
        <w:t xml:space="preserve">Estas opiniones </w:t>
      </w:r>
      <w:r w:rsidR="002F5D83">
        <w:rPr>
          <w:rFonts w:ascii="Times New Roman" w:hAnsi="Times New Roman"/>
          <w:sz w:val="24"/>
        </w:rPr>
        <w:t>fueron compartidas por los participantes</w:t>
      </w:r>
      <w:r w:rsidRPr="00F77FFE">
        <w:rPr>
          <w:rFonts w:ascii="Times New Roman" w:hAnsi="Times New Roman"/>
          <w:sz w:val="24"/>
        </w:rPr>
        <w:t xml:space="preserve"> en el grupo de discusión. Concretamente, el responsable de la unidad técnica de calidad </w:t>
      </w:r>
      <w:r w:rsidR="002F5D83">
        <w:rPr>
          <w:rFonts w:ascii="Times New Roman" w:hAnsi="Times New Roman"/>
          <w:sz w:val="24"/>
        </w:rPr>
        <w:t>afirmó</w:t>
      </w:r>
      <w:r w:rsidRPr="00F77FFE">
        <w:rPr>
          <w:rFonts w:ascii="Times New Roman" w:hAnsi="Times New Roman"/>
          <w:sz w:val="24"/>
        </w:rPr>
        <w:t xml:space="preserve"> que </w:t>
      </w:r>
      <w:r w:rsidRPr="00F77FFE">
        <w:rPr>
          <w:rFonts w:ascii="Times New Roman" w:hAnsi="Times New Roman"/>
          <w:i/>
          <w:sz w:val="24"/>
        </w:rPr>
        <w:t xml:space="preserve">“la herramienta estrella del proceso de seguimiento y acreditación de titulaciones es la guía docente, </w:t>
      </w:r>
      <w:r w:rsidR="005D1811">
        <w:rPr>
          <w:rFonts w:ascii="Times New Roman" w:hAnsi="Times New Roman"/>
          <w:i/>
          <w:sz w:val="24"/>
        </w:rPr>
        <w:t xml:space="preserve">puesto que </w:t>
      </w:r>
      <w:r w:rsidRPr="00F77FFE">
        <w:rPr>
          <w:rFonts w:ascii="Times New Roman" w:hAnsi="Times New Roman"/>
          <w:i/>
          <w:sz w:val="24"/>
        </w:rPr>
        <w:t>es el mapa de carretera que utilizan los evaluadores”</w:t>
      </w:r>
      <w:r w:rsidRPr="00F77FFE">
        <w:rPr>
          <w:rFonts w:ascii="Times New Roman" w:hAnsi="Times New Roman"/>
          <w:sz w:val="24"/>
        </w:rPr>
        <w:t xml:space="preserve"> (UCAL). </w:t>
      </w:r>
      <w:r w:rsidR="00B0596D">
        <w:rPr>
          <w:rFonts w:ascii="Times New Roman" w:hAnsi="Times New Roman"/>
          <w:sz w:val="24"/>
        </w:rPr>
        <w:t xml:space="preserve">Opinión que fue reforzada por el decano, quien señaló que era básicamente un </w:t>
      </w:r>
      <w:r w:rsidRPr="00F77FFE">
        <w:rPr>
          <w:rFonts w:ascii="Times New Roman" w:hAnsi="Times New Roman"/>
          <w:i/>
          <w:sz w:val="24"/>
        </w:rPr>
        <w:t>“registro administrativo que después va a tener una repercusión y un recorrido en el proceso de acreditación”</w:t>
      </w:r>
      <w:r w:rsidRPr="00F77FFE">
        <w:rPr>
          <w:rFonts w:ascii="Times New Roman" w:hAnsi="Times New Roman"/>
          <w:sz w:val="24"/>
        </w:rPr>
        <w:t xml:space="preserve"> (DEC). </w:t>
      </w:r>
    </w:p>
    <w:p w14:paraId="37BAE4A3" w14:textId="138DB4DE" w:rsidR="00F77FFE" w:rsidRPr="00F77FFE" w:rsidRDefault="00530539" w:rsidP="00855BDD">
      <w:pPr>
        <w:ind w:firstLine="709"/>
        <w:rPr>
          <w:rFonts w:ascii="Times New Roman" w:hAnsi="Times New Roman"/>
          <w:i/>
          <w:sz w:val="24"/>
        </w:rPr>
      </w:pPr>
      <w:r>
        <w:rPr>
          <w:rFonts w:ascii="Times New Roman" w:hAnsi="Times New Roman"/>
          <w:sz w:val="24"/>
        </w:rPr>
        <w:t>Por otra parte</w:t>
      </w:r>
      <w:r w:rsidR="00B0596D">
        <w:rPr>
          <w:rFonts w:ascii="Times New Roman" w:hAnsi="Times New Roman"/>
          <w:sz w:val="24"/>
        </w:rPr>
        <w:t xml:space="preserve">, </w:t>
      </w:r>
      <w:r w:rsidR="00F77FFE" w:rsidRPr="00F77FFE">
        <w:rPr>
          <w:rFonts w:ascii="Times New Roman" w:hAnsi="Times New Roman"/>
          <w:sz w:val="24"/>
        </w:rPr>
        <w:t xml:space="preserve">el 50,0% de los docentes entrevistados, coincidió al defender que la guía docente </w:t>
      </w:r>
      <w:r w:rsidR="00B0596D">
        <w:rPr>
          <w:rFonts w:ascii="Times New Roman" w:hAnsi="Times New Roman"/>
          <w:sz w:val="24"/>
        </w:rPr>
        <w:t xml:space="preserve">debe servir para orientar </w:t>
      </w:r>
      <w:r w:rsidR="00F77FFE" w:rsidRPr="00F77FFE">
        <w:rPr>
          <w:rFonts w:ascii="Times New Roman" w:hAnsi="Times New Roman"/>
          <w:sz w:val="24"/>
        </w:rPr>
        <w:t xml:space="preserve">la enseñanza, permitiendo planificar diferentes </w:t>
      </w:r>
      <w:r w:rsidR="00F77FFE" w:rsidRPr="00F77FFE">
        <w:rPr>
          <w:rFonts w:ascii="Times New Roman" w:hAnsi="Times New Roman"/>
          <w:sz w:val="24"/>
        </w:rPr>
        <w:lastRenderedPageBreak/>
        <w:t xml:space="preserve">aspectos que están en estrecha conexión con el proceso de enseñanza-aprendizaje del alumnado. </w:t>
      </w:r>
      <w:r w:rsidR="003F7891">
        <w:rPr>
          <w:rFonts w:ascii="Times New Roman" w:hAnsi="Times New Roman"/>
          <w:sz w:val="24"/>
        </w:rPr>
        <w:t>Los entrevistados entendieron que</w:t>
      </w:r>
      <w:r w:rsidR="00F77FFE" w:rsidRPr="00F77FFE">
        <w:rPr>
          <w:rFonts w:ascii="Times New Roman" w:hAnsi="Times New Roman"/>
          <w:sz w:val="24"/>
        </w:rPr>
        <w:t xml:space="preserve"> </w:t>
      </w:r>
      <w:r w:rsidR="00F77FFE" w:rsidRPr="00F77FFE">
        <w:rPr>
          <w:rFonts w:ascii="Times New Roman" w:hAnsi="Times New Roman"/>
          <w:i/>
          <w:sz w:val="24"/>
        </w:rPr>
        <w:t>“la guía docente es el mapa de la asignatura, es la hoja de ruta de la asignatura”</w:t>
      </w:r>
      <w:r w:rsidR="00F77FFE" w:rsidRPr="00F77FFE">
        <w:rPr>
          <w:rFonts w:ascii="Times New Roman" w:hAnsi="Times New Roman"/>
          <w:sz w:val="24"/>
        </w:rPr>
        <w:t xml:space="preserve"> (EIA2). Coincidiendo con estas argumentaciones, el decano que participó en el grupo de discusión afirmó que </w:t>
      </w:r>
      <w:r w:rsidR="00F77FFE" w:rsidRPr="00F77FFE">
        <w:rPr>
          <w:rFonts w:ascii="Times New Roman" w:hAnsi="Times New Roman"/>
          <w:i/>
          <w:sz w:val="24"/>
        </w:rPr>
        <w:t xml:space="preserve">“las guías docentes han contribuido de forma determinante a instaurar una cultura de calidad de la docencia que no existía antes, cuestiones </w:t>
      </w:r>
      <w:r w:rsidR="00B0596D" w:rsidRPr="00F77FFE">
        <w:rPr>
          <w:rFonts w:ascii="Times New Roman" w:hAnsi="Times New Roman"/>
          <w:i/>
          <w:sz w:val="24"/>
        </w:rPr>
        <w:t>como,</w:t>
      </w:r>
      <w:r w:rsidR="00F77FFE" w:rsidRPr="00F77FFE">
        <w:rPr>
          <w:rFonts w:ascii="Times New Roman" w:hAnsi="Times New Roman"/>
          <w:i/>
          <w:sz w:val="24"/>
        </w:rPr>
        <w:t xml:space="preserve"> por ejemplo: qué debo enseñar, una programación temporal, una definición lo más precisa y rigurosa de la evaluación”</w:t>
      </w:r>
      <w:r w:rsidR="00F77FFE" w:rsidRPr="00F77FFE">
        <w:rPr>
          <w:rFonts w:ascii="Times New Roman" w:hAnsi="Times New Roman"/>
          <w:sz w:val="24"/>
        </w:rPr>
        <w:t xml:space="preserve"> (DEC).</w:t>
      </w:r>
      <w:r w:rsidR="00B0596D">
        <w:rPr>
          <w:rFonts w:ascii="Times New Roman" w:hAnsi="Times New Roman"/>
          <w:sz w:val="24"/>
        </w:rPr>
        <w:t xml:space="preserve"> </w:t>
      </w:r>
      <w:r w:rsidR="00FB0642">
        <w:rPr>
          <w:rFonts w:ascii="Times New Roman" w:hAnsi="Times New Roman"/>
          <w:sz w:val="24"/>
        </w:rPr>
        <w:t>Con relación a</w:t>
      </w:r>
      <w:r w:rsidR="00B0596D">
        <w:rPr>
          <w:rFonts w:ascii="Times New Roman" w:hAnsi="Times New Roman"/>
          <w:sz w:val="24"/>
        </w:rPr>
        <w:t xml:space="preserve"> estas valoraciones, se pronunció uno de los docentes participantes en la entrevista señalando que </w:t>
      </w:r>
      <w:r w:rsidR="00F77FFE" w:rsidRPr="00F77FFE">
        <w:rPr>
          <w:rFonts w:ascii="Times New Roman" w:hAnsi="Times New Roman"/>
          <w:sz w:val="24"/>
        </w:rPr>
        <w:t>“</w:t>
      </w:r>
      <w:r w:rsidR="00F77FFE" w:rsidRPr="00F77FFE">
        <w:rPr>
          <w:rFonts w:ascii="Times New Roman" w:hAnsi="Times New Roman"/>
          <w:i/>
          <w:sz w:val="24"/>
        </w:rPr>
        <w:t xml:space="preserve">cierto es que, para algunos profesores, que no tenían ningún tipo de programación, </w:t>
      </w:r>
      <w:r w:rsidR="00B0596D">
        <w:rPr>
          <w:rFonts w:ascii="Times New Roman" w:hAnsi="Times New Roman"/>
          <w:i/>
          <w:sz w:val="24"/>
        </w:rPr>
        <w:t xml:space="preserve">(…) </w:t>
      </w:r>
      <w:r w:rsidR="00F77FFE" w:rsidRPr="00F77FFE">
        <w:rPr>
          <w:rFonts w:ascii="Times New Roman" w:hAnsi="Times New Roman"/>
          <w:i/>
          <w:sz w:val="24"/>
        </w:rPr>
        <w:t>les ha venido bien, para pensar un poquito en la asignatura” (ECSJ2)</w:t>
      </w:r>
    </w:p>
    <w:p w14:paraId="17E2112B" w14:textId="41FA090E"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Aunque no se ha extendido de manera generalizada el uso de la guía docente como recurso de la enseñanza, </w:t>
      </w:r>
      <w:r w:rsidRPr="0078238E">
        <w:rPr>
          <w:rFonts w:ascii="Times New Roman" w:hAnsi="Times New Roman"/>
          <w:sz w:val="24"/>
        </w:rPr>
        <w:t xml:space="preserve">muchos docentes </w:t>
      </w:r>
      <w:r w:rsidR="00B0596D" w:rsidRPr="0078238E">
        <w:rPr>
          <w:rFonts w:ascii="Times New Roman" w:hAnsi="Times New Roman"/>
          <w:sz w:val="24"/>
        </w:rPr>
        <w:t>hicieron</w:t>
      </w:r>
      <w:r w:rsidRPr="0078238E">
        <w:rPr>
          <w:rFonts w:ascii="Times New Roman" w:hAnsi="Times New Roman"/>
          <w:sz w:val="24"/>
        </w:rPr>
        <w:t xml:space="preserve"> un uso diario del programa con sus estudiantes.</w:t>
      </w:r>
      <w:r w:rsidRPr="00F77FFE">
        <w:rPr>
          <w:rFonts w:ascii="Times New Roman" w:hAnsi="Times New Roman"/>
          <w:sz w:val="24"/>
        </w:rPr>
        <w:t xml:space="preserve"> A modo de ejemplo, uno de los profesores entrevistados relató cómo empleaba este recurso de manera integrada en su asignatura</w:t>
      </w:r>
      <w:r w:rsidR="00B0596D">
        <w:rPr>
          <w:rFonts w:ascii="Times New Roman" w:hAnsi="Times New Roman"/>
          <w:sz w:val="24"/>
        </w:rPr>
        <w:t xml:space="preserve">: </w:t>
      </w:r>
      <w:r w:rsidRPr="00F77FFE">
        <w:rPr>
          <w:rFonts w:ascii="Times New Roman" w:hAnsi="Times New Roman"/>
          <w:sz w:val="24"/>
        </w:rPr>
        <w:t>“</w:t>
      </w:r>
      <w:r w:rsidRPr="00F77FFE">
        <w:rPr>
          <w:rFonts w:ascii="Times New Roman" w:hAnsi="Times New Roman"/>
          <w:i/>
          <w:sz w:val="24"/>
        </w:rPr>
        <w:t>todas las clases empiezan diariamente abriendo la guía docente, indicándoles en qué parte de la guía docente estamos; esta semana estamos en el tema cuatro y estamos viendo el apartado de meta-programación”</w:t>
      </w:r>
      <w:r w:rsidRPr="00F77FFE">
        <w:rPr>
          <w:rFonts w:ascii="Times New Roman" w:hAnsi="Times New Roman"/>
          <w:sz w:val="24"/>
        </w:rPr>
        <w:t xml:space="preserve"> (EIA2). </w:t>
      </w:r>
      <w:r w:rsidR="00530539">
        <w:rPr>
          <w:rFonts w:ascii="Times New Roman" w:hAnsi="Times New Roman"/>
          <w:sz w:val="24"/>
        </w:rPr>
        <w:t xml:space="preserve">Sin embargo, </w:t>
      </w:r>
      <w:r w:rsidR="00227D90" w:rsidRPr="0078238E">
        <w:rPr>
          <w:rFonts w:ascii="Times New Roman" w:hAnsi="Times New Roman"/>
          <w:sz w:val="24"/>
        </w:rPr>
        <w:t>la mayor parte de los docentes</w:t>
      </w:r>
      <w:r w:rsidR="0078238E">
        <w:rPr>
          <w:rFonts w:ascii="Times New Roman" w:hAnsi="Times New Roman"/>
          <w:sz w:val="24"/>
        </w:rPr>
        <w:t xml:space="preserve"> entrevistados</w:t>
      </w:r>
      <w:r w:rsidR="00227D90" w:rsidRPr="0078238E">
        <w:rPr>
          <w:rFonts w:ascii="Times New Roman" w:hAnsi="Times New Roman"/>
          <w:sz w:val="24"/>
        </w:rPr>
        <w:t>, limitó</w:t>
      </w:r>
      <w:r w:rsidR="00227D90">
        <w:rPr>
          <w:rFonts w:ascii="Times New Roman" w:hAnsi="Times New Roman"/>
          <w:sz w:val="24"/>
        </w:rPr>
        <w:t xml:space="preserve"> el uso de este recurso </w:t>
      </w:r>
      <w:r w:rsidR="00227D90">
        <w:rPr>
          <w:rFonts w:ascii="Times New Roman" w:hAnsi="Times New Roman"/>
          <w:i/>
          <w:sz w:val="24"/>
        </w:rPr>
        <w:t>“a</w:t>
      </w:r>
      <w:r w:rsidRPr="00F77FFE">
        <w:rPr>
          <w:rFonts w:ascii="Times New Roman" w:hAnsi="Times New Roman"/>
          <w:i/>
          <w:sz w:val="24"/>
        </w:rPr>
        <w:t>l primer día de clase; es decir, la presento, yo resumo lo que viene en todos los apartados, los contenidos que vamos a ver, la metodología y, evidentemente, el sistema de evaluación”</w:t>
      </w:r>
      <w:r w:rsidRPr="00F77FFE">
        <w:rPr>
          <w:rFonts w:ascii="Times New Roman" w:hAnsi="Times New Roman"/>
          <w:sz w:val="24"/>
        </w:rPr>
        <w:t xml:space="preserve"> (EAH1).</w:t>
      </w:r>
    </w:p>
    <w:p w14:paraId="56B94AD4" w14:textId="5FA836F8" w:rsidR="00F77FFE" w:rsidRPr="00F77FFE" w:rsidRDefault="00227D90" w:rsidP="00855BDD">
      <w:pPr>
        <w:ind w:firstLine="709"/>
        <w:rPr>
          <w:rFonts w:ascii="Times New Roman" w:hAnsi="Times New Roman"/>
          <w:sz w:val="24"/>
        </w:rPr>
      </w:pPr>
      <w:r>
        <w:rPr>
          <w:rFonts w:ascii="Times New Roman" w:hAnsi="Times New Roman"/>
          <w:sz w:val="24"/>
        </w:rPr>
        <w:t xml:space="preserve">Desde la perspectiva del representante de </w:t>
      </w:r>
      <w:r w:rsidRPr="004D549C">
        <w:rPr>
          <w:rFonts w:ascii="Times New Roman" w:hAnsi="Times New Roman"/>
          <w:sz w:val="24"/>
        </w:rPr>
        <w:t>la asesoría jurídica que</w:t>
      </w:r>
      <w:r>
        <w:rPr>
          <w:rFonts w:ascii="Times New Roman" w:hAnsi="Times New Roman"/>
          <w:sz w:val="24"/>
        </w:rPr>
        <w:t xml:space="preserve"> participó, el uso que hicieron los estudiantes de la guía docente se reducía básicamente a </w:t>
      </w:r>
      <w:r>
        <w:rPr>
          <w:rFonts w:ascii="Times New Roman" w:hAnsi="Times New Roman"/>
          <w:i/>
          <w:sz w:val="24"/>
        </w:rPr>
        <w:t>“</w:t>
      </w:r>
      <w:r w:rsidR="00F77FFE" w:rsidRPr="00F77FFE">
        <w:rPr>
          <w:rFonts w:ascii="Times New Roman" w:hAnsi="Times New Roman"/>
          <w:i/>
          <w:sz w:val="24"/>
        </w:rPr>
        <w:t>hacerse una idea a principio de curso del temario, de en qué consiste esa asignatura, aquel que tenga un interés digamos a priori de antes de matricularse de qué va esta asignatura, que con el nombre nada más a lo mejor no puedo definir los contenidos, y desde luego en el aspecto de evaluación”</w:t>
      </w:r>
      <w:r w:rsidR="00F77FFE" w:rsidRPr="00F77FFE">
        <w:rPr>
          <w:rFonts w:ascii="Times New Roman" w:hAnsi="Times New Roman"/>
          <w:sz w:val="24"/>
        </w:rPr>
        <w:t xml:space="preserve"> (AJUR).</w:t>
      </w:r>
    </w:p>
    <w:p w14:paraId="1D78874D" w14:textId="416B725B"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Confirmando este argumento, </w:t>
      </w:r>
      <w:r w:rsidRPr="00BF61A9">
        <w:rPr>
          <w:rFonts w:ascii="Times New Roman" w:hAnsi="Times New Roman"/>
          <w:sz w:val="24"/>
        </w:rPr>
        <w:t>el estudiante que participó</w:t>
      </w:r>
      <w:r w:rsidRPr="00F77FFE">
        <w:rPr>
          <w:rFonts w:ascii="Times New Roman" w:hAnsi="Times New Roman"/>
          <w:sz w:val="24"/>
        </w:rPr>
        <w:t xml:space="preserve"> en el grupo de debate insistió en la idea de que la guía docente </w:t>
      </w:r>
      <w:r w:rsidR="00227D90">
        <w:rPr>
          <w:rFonts w:ascii="Times New Roman" w:hAnsi="Times New Roman"/>
          <w:sz w:val="24"/>
        </w:rPr>
        <w:t>es</w:t>
      </w:r>
      <w:r w:rsidRPr="00F77FFE">
        <w:rPr>
          <w:rFonts w:ascii="Times New Roman" w:hAnsi="Times New Roman"/>
          <w:sz w:val="24"/>
        </w:rPr>
        <w:t xml:space="preserve"> un recurso de escasa utilidad para el proceso formativo del alumnado. </w:t>
      </w:r>
      <w:r w:rsidR="00227D90">
        <w:rPr>
          <w:rFonts w:ascii="Times New Roman" w:hAnsi="Times New Roman"/>
          <w:sz w:val="24"/>
        </w:rPr>
        <w:t>En este sentido destacó</w:t>
      </w:r>
      <w:r w:rsidRPr="00F77FFE">
        <w:rPr>
          <w:rFonts w:ascii="Times New Roman" w:hAnsi="Times New Roman"/>
          <w:sz w:val="24"/>
        </w:rPr>
        <w:t xml:space="preserve"> que </w:t>
      </w:r>
      <w:r w:rsidRPr="00F77FFE">
        <w:rPr>
          <w:rFonts w:ascii="Times New Roman" w:hAnsi="Times New Roman"/>
          <w:i/>
          <w:sz w:val="24"/>
        </w:rPr>
        <w:t>“no le prestamos mucha atención a las guías docentes, porque después, por ejemplo, establecen en la evaluación un examen oral o un examen escrito, pero a lo mejor nunca llegamos a ese examen”</w:t>
      </w:r>
      <w:r w:rsidRPr="00F77FFE">
        <w:rPr>
          <w:rFonts w:ascii="Times New Roman" w:hAnsi="Times New Roman"/>
          <w:sz w:val="24"/>
        </w:rPr>
        <w:t xml:space="preserve"> (EU). Según este estudiante, la utilidad y uso que hacía de la guía docente</w:t>
      </w:r>
      <w:r w:rsidR="00227D90">
        <w:rPr>
          <w:rFonts w:ascii="Times New Roman" w:hAnsi="Times New Roman"/>
          <w:sz w:val="24"/>
        </w:rPr>
        <w:t xml:space="preserve"> se centraba </w:t>
      </w:r>
      <w:r w:rsidR="002F5D83">
        <w:rPr>
          <w:rFonts w:ascii="Times New Roman" w:hAnsi="Times New Roman"/>
          <w:sz w:val="24"/>
        </w:rPr>
        <w:t>básicamente en conocer</w:t>
      </w:r>
      <w:r w:rsidR="00227D90">
        <w:rPr>
          <w:rFonts w:ascii="Times New Roman" w:hAnsi="Times New Roman"/>
          <w:sz w:val="24"/>
        </w:rPr>
        <w:t xml:space="preserve"> </w:t>
      </w:r>
      <w:r w:rsidRPr="00F77FFE">
        <w:rPr>
          <w:rFonts w:ascii="Times New Roman" w:hAnsi="Times New Roman"/>
          <w:sz w:val="24"/>
        </w:rPr>
        <w:t>“</w:t>
      </w:r>
      <w:r w:rsidRPr="00F77FFE">
        <w:rPr>
          <w:rFonts w:ascii="Times New Roman" w:hAnsi="Times New Roman"/>
          <w:i/>
          <w:sz w:val="24"/>
        </w:rPr>
        <w:t>quién es el profesor, las tutorías o el horario”</w:t>
      </w:r>
      <w:r w:rsidRPr="00F77FFE">
        <w:rPr>
          <w:rFonts w:ascii="Times New Roman" w:hAnsi="Times New Roman"/>
          <w:sz w:val="24"/>
        </w:rPr>
        <w:t xml:space="preserve"> (EU).</w:t>
      </w:r>
    </w:p>
    <w:p w14:paraId="33EB581C" w14:textId="5650EE55" w:rsidR="00F77FFE" w:rsidRPr="00F77FFE" w:rsidRDefault="00227D90" w:rsidP="002F5D83">
      <w:pPr>
        <w:ind w:firstLine="709"/>
        <w:rPr>
          <w:rFonts w:ascii="Times New Roman" w:hAnsi="Times New Roman"/>
          <w:sz w:val="24"/>
        </w:rPr>
      </w:pPr>
      <w:r>
        <w:rPr>
          <w:rFonts w:ascii="Times New Roman" w:hAnsi="Times New Roman"/>
          <w:sz w:val="24"/>
        </w:rPr>
        <w:t>Por último</w:t>
      </w:r>
      <w:r w:rsidR="00F77FFE" w:rsidRPr="00F77FFE">
        <w:rPr>
          <w:rFonts w:ascii="Times New Roman" w:hAnsi="Times New Roman"/>
          <w:sz w:val="24"/>
        </w:rPr>
        <w:t xml:space="preserve">, </w:t>
      </w:r>
      <w:r w:rsidR="002F5D83">
        <w:rPr>
          <w:rFonts w:ascii="Times New Roman" w:hAnsi="Times New Roman"/>
          <w:sz w:val="24"/>
        </w:rPr>
        <w:t xml:space="preserve">hubo un grupo de personas que participó en la sesión de debate que consideró </w:t>
      </w:r>
      <w:r w:rsidR="00F77FFE" w:rsidRPr="00F77FFE">
        <w:rPr>
          <w:rFonts w:ascii="Times New Roman" w:hAnsi="Times New Roman"/>
          <w:sz w:val="24"/>
        </w:rPr>
        <w:t xml:space="preserve">la guía docente como un recurso que, por una parte, era de carácter administrativo y, por otra, servía para guiar y orientar el proceso de enseñanza. En palabras de uno de los participantes en el grupo de </w:t>
      </w:r>
      <w:r w:rsidRPr="00F77FFE">
        <w:rPr>
          <w:rFonts w:ascii="Times New Roman" w:hAnsi="Times New Roman"/>
          <w:sz w:val="24"/>
        </w:rPr>
        <w:t>discusión</w:t>
      </w:r>
      <w:r w:rsidR="00F77FFE" w:rsidRPr="00F77FFE">
        <w:rPr>
          <w:rFonts w:ascii="Times New Roman" w:hAnsi="Times New Roman"/>
          <w:sz w:val="24"/>
        </w:rPr>
        <w:t xml:space="preserve">, la guía docente </w:t>
      </w:r>
      <w:r>
        <w:rPr>
          <w:rFonts w:ascii="Times New Roman" w:hAnsi="Times New Roman"/>
          <w:sz w:val="24"/>
        </w:rPr>
        <w:t>era</w:t>
      </w:r>
      <w:r w:rsidR="00F77FFE" w:rsidRPr="00F77FFE">
        <w:rPr>
          <w:rFonts w:ascii="Times New Roman" w:hAnsi="Times New Roman"/>
          <w:sz w:val="24"/>
        </w:rPr>
        <w:t xml:space="preserve"> un </w:t>
      </w:r>
      <w:r w:rsidR="00F77FFE" w:rsidRPr="00F77FFE">
        <w:rPr>
          <w:rFonts w:ascii="Times New Roman" w:hAnsi="Times New Roman"/>
          <w:i/>
          <w:sz w:val="24"/>
        </w:rPr>
        <w:t>"un proceso administrativo ineludible, pero también para el alumno y uno mismo es una herramienta para el buen desarrollo del curso, sobre todo lo que es el ajuste de los contenidos al cronograma; a mí me parece interesante”</w:t>
      </w:r>
      <w:r w:rsidR="00F77FFE" w:rsidRPr="00F77FFE">
        <w:rPr>
          <w:rFonts w:ascii="Times New Roman" w:hAnsi="Times New Roman"/>
          <w:sz w:val="24"/>
        </w:rPr>
        <w:t xml:space="preserve"> (EAH2).</w:t>
      </w:r>
    </w:p>
    <w:p w14:paraId="669FFA6B" w14:textId="77777777"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 </w:t>
      </w:r>
    </w:p>
    <w:p w14:paraId="2256C951" w14:textId="7D4BA0BA" w:rsidR="00F77FFE" w:rsidRPr="00F77FFE" w:rsidRDefault="00F77FFE" w:rsidP="00855BDD">
      <w:pPr>
        <w:ind w:firstLine="0"/>
        <w:rPr>
          <w:rFonts w:ascii="Times New Roman" w:hAnsi="Times New Roman"/>
          <w:b/>
          <w:i/>
          <w:sz w:val="24"/>
        </w:rPr>
      </w:pPr>
      <w:r w:rsidRPr="00F77FFE">
        <w:rPr>
          <w:rFonts w:ascii="Times New Roman" w:hAnsi="Times New Roman"/>
          <w:b/>
          <w:i/>
          <w:sz w:val="24"/>
        </w:rPr>
        <w:t>Diseño de la guía docente</w:t>
      </w:r>
    </w:p>
    <w:p w14:paraId="7675F839" w14:textId="355936CA" w:rsidR="00F77FFE" w:rsidRPr="00F77FFE" w:rsidRDefault="00F77FFE" w:rsidP="00855BDD">
      <w:pPr>
        <w:ind w:firstLine="709"/>
        <w:rPr>
          <w:rFonts w:ascii="Times New Roman" w:hAnsi="Times New Roman"/>
          <w:i/>
          <w:sz w:val="24"/>
        </w:rPr>
      </w:pPr>
      <w:r w:rsidRPr="00F77FFE">
        <w:rPr>
          <w:rFonts w:ascii="Times New Roman" w:hAnsi="Times New Roman"/>
          <w:sz w:val="24"/>
        </w:rPr>
        <w:t xml:space="preserve">Otro de los aspectos que se valoró en este estudio fue el proceso que se siguió para la elaboración y el diseño de la guía docente. De los testimonios que ofrecieron los participantes en el estudio, </w:t>
      </w:r>
      <w:r w:rsidRPr="0078238E">
        <w:rPr>
          <w:rFonts w:ascii="Times New Roman" w:hAnsi="Times New Roman"/>
          <w:sz w:val="24"/>
        </w:rPr>
        <w:t xml:space="preserve">destacó la rigidez que encontraron los docentes a la hora de construir </w:t>
      </w:r>
      <w:r w:rsidR="00E26038" w:rsidRPr="0078238E">
        <w:rPr>
          <w:rFonts w:ascii="Times New Roman" w:hAnsi="Times New Roman"/>
          <w:sz w:val="24"/>
        </w:rPr>
        <w:t>su programa formativo</w:t>
      </w:r>
      <w:r w:rsidRPr="0078238E">
        <w:rPr>
          <w:rFonts w:ascii="Times New Roman" w:hAnsi="Times New Roman"/>
          <w:sz w:val="24"/>
        </w:rPr>
        <w:t>.</w:t>
      </w:r>
      <w:r w:rsidRPr="00F77FFE">
        <w:rPr>
          <w:rFonts w:ascii="Times New Roman" w:hAnsi="Times New Roman"/>
          <w:sz w:val="24"/>
        </w:rPr>
        <w:t xml:space="preserve"> </w:t>
      </w:r>
      <w:r w:rsidR="00730E63">
        <w:rPr>
          <w:rFonts w:ascii="Times New Roman" w:hAnsi="Times New Roman"/>
          <w:sz w:val="24"/>
        </w:rPr>
        <w:t xml:space="preserve">Es decir, </w:t>
      </w:r>
      <w:r w:rsidR="002F5D83">
        <w:rPr>
          <w:rFonts w:ascii="Times New Roman" w:hAnsi="Times New Roman"/>
          <w:sz w:val="24"/>
        </w:rPr>
        <w:t>existía poc</w:t>
      </w:r>
      <w:r w:rsidRPr="00F77FFE">
        <w:rPr>
          <w:rFonts w:ascii="Times New Roman" w:hAnsi="Times New Roman"/>
          <w:sz w:val="24"/>
        </w:rPr>
        <w:t>o espacio para reflejar la propuesta y el planteamiento pedagógico de las asignaturas</w:t>
      </w:r>
      <w:r w:rsidR="006F00F2">
        <w:rPr>
          <w:rFonts w:ascii="Times New Roman" w:hAnsi="Times New Roman"/>
          <w:sz w:val="24"/>
        </w:rPr>
        <w:t>. Ante esta situación, manifestaron que</w:t>
      </w:r>
      <w:r w:rsidRPr="00F77FFE">
        <w:rPr>
          <w:rFonts w:ascii="Times New Roman" w:hAnsi="Times New Roman"/>
          <w:sz w:val="24"/>
        </w:rPr>
        <w:t xml:space="preserve"> “</w:t>
      </w:r>
      <w:r w:rsidRPr="00F77FFE">
        <w:rPr>
          <w:rFonts w:ascii="Times New Roman" w:hAnsi="Times New Roman"/>
          <w:i/>
          <w:sz w:val="24"/>
        </w:rPr>
        <w:t>he notado que cuando la estoy redactando hay cosas que me resultan algo rígidas, que a lo mejor debería dar más posibilidad de</w:t>
      </w:r>
      <w:r w:rsidR="006C15CA">
        <w:rPr>
          <w:rFonts w:ascii="Times New Roman" w:hAnsi="Times New Roman"/>
          <w:i/>
          <w:sz w:val="24"/>
        </w:rPr>
        <w:t xml:space="preserve"> editar</w:t>
      </w:r>
      <w:r w:rsidRPr="00F77FFE">
        <w:rPr>
          <w:rFonts w:ascii="Times New Roman" w:hAnsi="Times New Roman"/>
          <w:i/>
          <w:sz w:val="24"/>
        </w:rPr>
        <w:t xml:space="preserve">” (ECS2). </w:t>
      </w:r>
      <w:r w:rsidRPr="00F77FFE">
        <w:rPr>
          <w:rFonts w:ascii="Times New Roman" w:hAnsi="Times New Roman"/>
          <w:sz w:val="24"/>
        </w:rPr>
        <w:t xml:space="preserve">Este planteamiento, no </w:t>
      </w:r>
      <w:r w:rsidRPr="00F77FFE">
        <w:rPr>
          <w:rFonts w:ascii="Times New Roman" w:hAnsi="Times New Roman"/>
          <w:sz w:val="24"/>
        </w:rPr>
        <w:lastRenderedPageBreak/>
        <w:t>permitió recoger, por ejemplo, “</w:t>
      </w:r>
      <w:r w:rsidRPr="00F77FFE">
        <w:rPr>
          <w:rFonts w:ascii="Times New Roman" w:hAnsi="Times New Roman"/>
          <w:i/>
          <w:sz w:val="24"/>
        </w:rPr>
        <w:t>el esfuerzo que yo le dedico a la asignatura; es decir, yo destino mucho tiempo a preparar la docencia cada año, a actualizarla. En cuanto he terminado con una asignatura, ya estoy mirando de qué modo la actualizo y de qué modo incorporo este o aquel otro modelo o aquel otro detalle, aquella investigación” (ECS1).</w:t>
      </w:r>
    </w:p>
    <w:p w14:paraId="26C08DB5" w14:textId="7A9FB215" w:rsidR="00F77FFE" w:rsidRPr="00F77FFE" w:rsidRDefault="00F77FFE" w:rsidP="00855BDD">
      <w:pPr>
        <w:ind w:firstLine="709"/>
        <w:rPr>
          <w:rFonts w:ascii="Times New Roman" w:hAnsi="Times New Roman"/>
          <w:sz w:val="24"/>
        </w:rPr>
      </w:pPr>
      <w:r w:rsidRPr="00F77FFE">
        <w:rPr>
          <w:rFonts w:ascii="Times New Roman" w:hAnsi="Times New Roman"/>
          <w:sz w:val="24"/>
        </w:rPr>
        <w:t>La</w:t>
      </w:r>
      <w:r>
        <w:rPr>
          <w:rFonts w:ascii="Times New Roman" w:hAnsi="Times New Roman"/>
          <w:sz w:val="24"/>
        </w:rPr>
        <w:t>s</w:t>
      </w:r>
      <w:r w:rsidRPr="00F77FFE">
        <w:rPr>
          <w:rFonts w:ascii="Times New Roman" w:hAnsi="Times New Roman"/>
          <w:sz w:val="24"/>
        </w:rPr>
        <w:t xml:space="preserve"> valoraciones de los participantes </w:t>
      </w:r>
      <w:r w:rsidR="002E587A">
        <w:rPr>
          <w:rFonts w:ascii="Times New Roman" w:hAnsi="Times New Roman"/>
          <w:sz w:val="24"/>
        </w:rPr>
        <w:t>resaltaron</w:t>
      </w:r>
      <w:r w:rsidRPr="00F77FFE">
        <w:rPr>
          <w:rFonts w:ascii="Times New Roman" w:hAnsi="Times New Roman"/>
          <w:sz w:val="24"/>
        </w:rPr>
        <w:t xml:space="preserve"> la importancia que tenían las memorias de verificación de las titulaciones a la hora de determinar el desarrollo de las asignaturas. </w:t>
      </w:r>
      <w:r w:rsidR="008941B7">
        <w:rPr>
          <w:rFonts w:ascii="Times New Roman" w:hAnsi="Times New Roman"/>
          <w:sz w:val="24"/>
        </w:rPr>
        <w:t xml:space="preserve">La memoria de verificación </w:t>
      </w:r>
      <w:r w:rsidRPr="00F77FFE">
        <w:rPr>
          <w:rFonts w:ascii="Times New Roman" w:hAnsi="Times New Roman"/>
          <w:sz w:val="24"/>
        </w:rPr>
        <w:t xml:space="preserve">del título concreta aspectos que los docentes tienen que asumir y desarrollar, sin poder cambiar los apartados esenciales de la guía docente hasta que no se modifique. Esta realidad, ofrece una escasa capacidad de maniobra para que el docente pueda incorporar en las guías elementos actualizados e innovadores vinculados a su proceso formativo. Así, </w:t>
      </w:r>
      <w:r w:rsidR="006F00F2">
        <w:rPr>
          <w:rFonts w:ascii="Times New Roman" w:hAnsi="Times New Roman"/>
          <w:sz w:val="24"/>
        </w:rPr>
        <w:t>uno de los profesores que participó</w:t>
      </w:r>
      <w:r w:rsidRPr="00F77FFE">
        <w:rPr>
          <w:rFonts w:ascii="Times New Roman" w:hAnsi="Times New Roman"/>
          <w:sz w:val="24"/>
        </w:rPr>
        <w:t xml:space="preserve"> en el grupo de discusión </w:t>
      </w:r>
      <w:r w:rsidR="006F00F2">
        <w:rPr>
          <w:rFonts w:ascii="Times New Roman" w:hAnsi="Times New Roman"/>
          <w:sz w:val="24"/>
        </w:rPr>
        <w:t>indicó</w:t>
      </w:r>
      <w:r w:rsidRPr="00F77FFE">
        <w:rPr>
          <w:rFonts w:ascii="Times New Roman" w:hAnsi="Times New Roman"/>
          <w:sz w:val="24"/>
        </w:rPr>
        <w:t xml:space="preserve"> que </w:t>
      </w:r>
      <w:r w:rsidRPr="00F77FFE">
        <w:rPr>
          <w:rFonts w:ascii="Times New Roman" w:hAnsi="Times New Roman"/>
          <w:i/>
          <w:sz w:val="24"/>
        </w:rPr>
        <w:t xml:space="preserve">“el sistema de evaluación es lo que más puedes, a lo mejor, variar un poco. Pero tampoco tanto, porque está muy regulado por </w:t>
      </w:r>
      <w:r w:rsidR="008941B7">
        <w:rPr>
          <w:rFonts w:ascii="Times New Roman" w:hAnsi="Times New Roman"/>
          <w:i/>
          <w:sz w:val="24"/>
        </w:rPr>
        <w:t>la memoria de verificación</w:t>
      </w:r>
      <w:r w:rsidRPr="00F77FFE">
        <w:rPr>
          <w:rFonts w:ascii="Times New Roman" w:hAnsi="Times New Roman"/>
          <w:i/>
          <w:sz w:val="24"/>
        </w:rPr>
        <w:t>”</w:t>
      </w:r>
      <w:r w:rsidRPr="00F77FFE">
        <w:rPr>
          <w:rFonts w:ascii="Times New Roman" w:hAnsi="Times New Roman"/>
          <w:sz w:val="24"/>
        </w:rPr>
        <w:t xml:space="preserve"> (EAH1). </w:t>
      </w:r>
      <w:r w:rsidR="006F00F2">
        <w:rPr>
          <w:rFonts w:ascii="Times New Roman" w:hAnsi="Times New Roman"/>
          <w:sz w:val="24"/>
        </w:rPr>
        <w:t>Otro de los docentes señaló que</w:t>
      </w:r>
      <w:r w:rsidRPr="00F77FFE">
        <w:rPr>
          <w:rFonts w:ascii="Times New Roman" w:hAnsi="Times New Roman"/>
          <w:sz w:val="24"/>
        </w:rPr>
        <w:t xml:space="preserve"> “</w:t>
      </w:r>
      <w:r w:rsidRPr="00F77FFE">
        <w:rPr>
          <w:rFonts w:ascii="Times New Roman" w:hAnsi="Times New Roman"/>
          <w:i/>
          <w:sz w:val="24"/>
        </w:rPr>
        <w:t xml:space="preserve">quizás donde mayor modificación hay con respecto a otros años es en la evaluación. Luego lo que son las competencias no, porque las competencias vienen establecidas por una orden ministerial, que es una titulación con repercusión profesional, ahí no tenemos margen y en el desarrollo de los contenidos, son los que tenemos a lo largo de los años, no modificamos mucho” (EIA1). </w:t>
      </w:r>
      <w:r w:rsidRPr="00F77FFE">
        <w:rPr>
          <w:rFonts w:ascii="Times New Roman" w:hAnsi="Times New Roman"/>
          <w:sz w:val="24"/>
        </w:rPr>
        <w:t xml:space="preserve">En definitiva, más que sustituir o incluir cualquier aspecto en la guía docente, </w:t>
      </w:r>
      <w:r w:rsidRPr="00F77FFE">
        <w:rPr>
          <w:rFonts w:ascii="Times New Roman" w:hAnsi="Times New Roman"/>
          <w:i/>
          <w:sz w:val="24"/>
        </w:rPr>
        <w:t xml:space="preserve">“sería </w:t>
      </w:r>
      <w:r w:rsidR="008941B7" w:rsidRPr="008941B7">
        <w:rPr>
          <w:rFonts w:ascii="Times New Roman" w:hAnsi="Times New Roman"/>
          <w:i/>
          <w:sz w:val="24"/>
        </w:rPr>
        <w:t xml:space="preserve">la memoria de verificación </w:t>
      </w:r>
      <w:r w:rsidR="008941B7">
        <w:rPr>
          <w:rFonts w:ascii="Times New Roman" w:hAnsi="Times New Roman"/>
          <w:i/>
          <w:sz w:val="24"/>
        </w:rPr>
        <w:t>la</w:t>
      </w:r>
      <w:r w:rsidRPr="00F77FFE">
        <w:rPr>
          <w:rFonts w:ascii="Times New Roman" w:hAnsi="Times New Roman"/>
          <w:i/>
          <w:sz w:val="24"/>
        </w:rPr>
        <w:t xml:space="preserve"> que tendrías que modificar, porque lo que yo no puedo modificar es una competencia en la guía docente si no está modificada en </w:t>
      </w:r>
      <w:r w:rsidR="008941B7" w:rsidRPr="008941B7">
        <w:rPr>
          <w:rFonts w:ascii="Times New Roman" w:hAnsi="Times New Roman"/>
          <w:i/>
          <w:sz w:val="24"/>
        </w:rPr>
        <w:t>la memoria de verificación</w:t>
      </w:r>
      <w:r w:rsidRPr="00F77FFE">
        <w:rPr>
          <w:rFonts w:ascii="Times New Roman" w:hAnsi="Times New Roman"/>
          <w:i/>
          <w:sz w:val="24"/>
        </w:rPr>
        <w:t xml:space="preserve">” </w:t>
      </w:r>
      <w:r w:rsidRPr="00F77FFE">
        <w:rPr>
          <w:rFonts w:ascii="Times New Roman" w:hAnsi="Times New Roman"/>
          <w:sz w:val="24"/>
        </w:rPr>
        <w:t>(EC1).</w:t>
      </w:r>
    </w:p>
    <w:p w14:paraId="2C5A6BC2" w14:textId="238BE7AE" w:rsidR="00F77FFE" w:rsidRPr="00F77FFE" w:rsidRDefault="00F77FFE" w:rsidP="00855BDD">
      <w:pPr>
        <w:ind w:firstLine="709"/>
        <w:rPr>
          <w:rFonts w:ascii="Times New Roman" w:hAnsi="Times New Roman"/>
          <w:sz w:val="24"/>
        </w:rPr>
      </w:pPr>
      <w:r w:rsidRPr="00F77FFE">
        <w:rPr>
          <w:rFonts w:ascii="Times New Roman" w:hAnsi="Times New Roman"/>
          <w:sz w:val="24"/>
        </w:rPr>
        <w:t>La existencia de un modelo de guía docente con apartados e información prescrita, quedó justificada por el representante de la unidad de calidad que participó en el grupo de discusión</w:t>
      </w:r>
      <w:r w:rsidR="002E587A">
        <w:rPr>
          <w:rFonts w:ascii="Times New Roman" w:hAnsi="Times New Roman"/>
          <w:sz w:val="24"/>
        </w:rPr>
        <w:t xml:space="preserve"> al indicar </w:t>
      </w:r>
      <w:r w:rsidRPr="00F77FFE">
        <w:rPr>
          <w:rFonts w:ascii="Times New Roman" w:hAnsi="Times New Roman"/>
          <w:sz w:val="24"/>
        </w:rPr>
        <w:t xml:space="preserve">que </w:t>
      </w:r>
      <w:r w:rsidRPr="00F77FFE">
        <w:rPr>
          <w:rFonts w:ascii="Times New Roman" w:hAnsi="Times New Roman"/>
          <w:i/>
          <w:sz w:val="24"/>
        </w:rPr>
        <w:t xml:space="preserve">“todo lo que tiene que ver con competencias, todas esas cuestiones… se las damos ya cerrados porque </w:t>
      </w:r>
      <w:r w:rsidR="002E587A">
        <w:rPr>
          <w:rFonts w:ascii="Times New Roman" w:hAnsi="Times New Roman"/>
          <w:i/>
          <w:sz w:val="24"/>
        </w:rPr>
        <w:t>(…)</w:t>
      </w:r>
      <w:r w:rsidRPr="00F77FFE">
        <w:rPr>
          <w:rFonts w:ascii="Times New Roman" w:hAnsi="Times New Roman"/>
          <w:i/>
          <w:sz w:val="24"/>
        </w:rPr>
        <w:t xml:space="preserve"> detectamos que no se correspondía nada con lo establecido”</w:t>
      </w:r>
      <w:r w:rsidRPr="00F77FFE">
        <w:rPr>
          <w:rFonts w:ascii="Times New Roman" w:hAnsi="Times New Roman"/>
          <w:sz w:val="24"/>
        </w:rPr>
        <w:t xml:space="preserve"> (UCAL).</w:t>
      </w:r>
    </w:p>
    <w:p w14:paraId="23E4C8C5" w14:textId="0C40C84A"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Desde la perspectiva del profesorado entrevistado, </w:t>
      </w:r>
      <w:r w:rsidR="008941B7" w:rsidRPr="008941B7">
        <w:rPr>
          <w:rFonts w:ascii="Times New Roman" w:hAnsi="Times New Roman"/>
          <w:i/>
          <w:sz w:val="24"/>
        </w:rPr>
        <w:t>la memoria de verificación</w:t>
      </w:r>
      <w:r w:rsidR="008941B7" w:rsidRPr="008941B7">
        <w:rPr>
          <w:rFonts w:ascii="Times New Roman" w:hAnsi="Times New Roman"/>
          <w:sz w:val="24"/>
        </w:rPr>
        <w:t xml:space="preserve"> </w:t>
      </w:r>
      <w:r w:rsidRPr="00F77FFE">
        <w:rPr>
          <w:rFonts w:ascii="Times New Roman" w:hAnsi="Times New Roman"/>
          <w:sz w:val="24"/>
        </w:rPr>
        <w:t xml:space="preserve">es </w:t>
      </w:r>
      <w:r w:rsidRPr="00F77FFE">
        <w:rPr>
          <w:rFonts w:ascii="Times New Roman" w:hAnsi="Times New Roman"/>
          <w:i/>
          <w:sz w:val="24"/>
        </w:rPr>
        <w:t>“también un documento de planificación educativa, que se tendría que estar actualizando constantemente”</w:t>
      </w:r>
      <w:r w:rsidRPr="00F77FFE">
        <w:rPr>
          <w:rFonts w:ascii="Times New Roman" w:hAnsi="Times New Roman"/>
          <w:sz w:val="24"/>
        </w:rPr>
        <w:t xml:space="preserve"> (ECSJ2).  Para que esto funcione de manera efectiva y se consigan los ajustes oportunos y necesarios, el proceso de actualización de </w:t>
      </w:r>
      <w:r w:rsidR="008941B7">
        <w:rPr>
          <w:rFonts w:ascii="Times New Roman" w:hAnsi="Times New Roman"/>
          <w:sz w:val="24"/>
        </w:rPr>
        <w:t xml:space="preserve">las memorias de verificación </w:t>
      </w:r>
      <w:r w:rsidRPr="00F77FFE">
        <w:rPr>
          <w:rFonts w:ascii="Times New Roman" w:hAnsi="Times New Roman"/>
          <w:sz w:val="24"/>
        </w:rPr>
        <w:t xml:space="preserve">tendría </w:t>
      </w:r>
      <w:r w:rsidRPr="006F00F2">
        <w:rPr>
          <w:rFonts w:ascii="Times New Roman" w:hAnsi="Times New Roman"/>
          <w:sz w:val="24"/>
        </w:rPr>
        <w:t xml:space="preserve">que ser </w:t>
      </w:r>
      <w:r w:rsidR="00F31FDE" w:rsidRPr="006F00F2">
        <w:rPr>
          <w:rFonts w:ascii="Times New Roman" w:hAnsi="Times New Roman"/>
          <w:sz w:val="24"/>
        </w:rPr>
        <w:t xml:space="preserve">más </w:t>
      </w:r>
      <w:r w:rsidRPr="006F00F2">
        <w:rPr>
          <w:rFonts w:ascii="Times New Roman" w:hAnsi="Times New Roman"/>
          <w:sz w:val="24"/>
        </w:rPr>
        <w:t>ágil y rápido. Solo de esta manera se podrían corregir los desajustes entre lo</w:t>
      </w:r>
      <w:r w:rsidRPr="00F77FFE">
        <w:rPr>
          <w:rFonts w:ascii="Times New Roman" w:hAnsi="Times New Roman"/>
          <w:sz w:val="24"/>
        </w:rPr>
        <w:t xml:space="preserve"> que figura </w:t>
      </w:r>
      <w:r w:rsidRPr="008941B7">
        <w:rPr>
          <w:rFonts w:ascii="Times New Roman" w:hAnsi="Times New Roman"/>
          <w:sz w:val="24"/>
        </w:rPr>
        <w:t xml:space="preserve">en </w:t>
      </w:r>
      <w:r w:rsidR="008941B7" w:rsidRPr="008941B7">
        <w:rPr>
          <w:rFonts w:ascii="Times New Roman" w:hAnsi="Times New Roman"/>
          <w:sz w:val="24"/>
        </w:rPr>
        <w:t xml:space="preserve">la memoria de verificación </w:t>
      </w:r>
      <w:r w:rsidRPr="00F77FFE">
        <w:rPr>
          <w:rFonts w:ascii="Times New Roman" w:hAnsi="Times New Roman"/>
          <w:sz w:val="24"/>
        </w:rPr>
        <w:t xml:space="preserve">y lo que ocurre realmente en el desarrollo de una asignatura. En este sentido, algunos participantes en el grupo de discusión, reclamaron mayor capacidad </w:t>
      </w:r>
      <w:r w:rsidR="00A83165">
        <w:rPr>
          <w:rFonts w:ascii="Times New Roman" w:hAnsi="Times New Roman"/>
          <w:sz w:val="24"/>
        </w:rPr>
        <w:t>para</w:t>
      </w:r>
      <w:r w:rsidRPr="00F77FFE">
        <w:rPr>
          <w:rFonts w:ascii="Times New Roman" w:hAnsi="Times New Roman"/>
          <w:sz w:val="24"/>
        </w:rPr>
        <w:t xml:space="preserve"> adecuar el programa de la asignatura a las características del curso y del alumnado, dado que es muy difícil prever con antelación lo que va a ocurrir durante el desarrollo de la asignatura. </w:t>
      </w:r>
      <w:r w:rsidR="00793F87">
        <w:rPr>
          <w:rFonts w:ascii="Times New Roman" w:hAnsi="Times New Roman"/>
          <w:sz w:val="24"/>
        </w:rPr>
        <w:t>Algunos de los relatos recogidos apuntaron a esta realidad cuando reclamaron que</w:t>
      </w:r>
      <w:r w:rsidRPr="00F77FFE">
        <w:rPr>
          <w:rFonts w:ascii="Times New Roman" w:hAnsi="Times New Roman"/>
          <w:sz w:val="24"/>
        </w:rPr>
        <w:t xml:space="preserve"> </w:t>
      </w:r>
      <w:r w:rsidRPr="00F77FFE">
        <w:rPr>
          <w:rFonts w:ascii="Times New Roman" w:hAnsi="Times New Roman"/>
          <w:i/>
          <w:sz w:val="24"/>
        </w:rPr>
        <w:t>“</w:t>
      </w:r>
      <w:r w:rsidR="002E587A">
        <w:rPr>
          <w:rFonts w:ascii="Times New Roman" w:hAnsi="Times New Roman"/>
          <w:i/>
          <w:sz w:val="24"/>
        </w:rPr>
        <w:t>m</w:t>
      </w:r>
      <w:r w:rsidRPr="00F77FFE">
        <w:rPr>
          <w:rFonts w:ascii="Times New Roman" w:hAnsi="Times New Roman"/>
          <w:i/>
          <w:sz w:val="24"/>
        </w:rPr>
        <w:t>uchas veces tengo que hacer las cosas de otra manera a como viene recogido en la guía, porque la realidad que me encuentro en clase no se adecúa a lo que figura en la guía docente. Incluso el sistema de evaluación que tengo establecido no es el que puedo utilizar”</w:t>
      </w:r>
      <w:r w:rsidRPr="00F77FFE">
        <w:rPr>
          <w:rFonts w:ascii="Times New Roman" w:hAnsi="Times New Roman"/>
          <w:sz w:val="24"/>
        </w:rPr>
        <w:t xml:space="preserve"> (UCAL).</w:t>
      </w:r>
    </w:p>
    <w:p w14:paraId="1AF6F87F" w14:textId="2E2C38EF"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Tal y como </w:t>
      </w:r>
      <w:r w:rsidR="00793F87">
        <w:rPr>
          <w:rFonts w:ascii="Times New Roman" w:hAnsi="Times New Roman"/>
          <w:sz w:val="24"/>
        </w:rPr>
        <w:t>sintetizó</w:t>
      </w:r>
      <w:r w:rsidRPr="00F77FFE">
        <w:rPr>
          <w:rFonts w:ascii="Times New Roman" w:hAnsi="Times New Roman"/>
          <w:sz w:val="24"/>
        </w:rPr>
        <w:t xml:space="preserve"> uno de los profesores entrevistados, </w:t>
      </w:r>
      <w:r w:rsidRPr="00F77FFE">
        <w:rPr>
          <w:rFonts w:ascii="Times New Roman" w:hAnsi="Times New Roman"/>
          <w:i/>
          <w:sz w:val="24"/>
        </w:rPr>
        <w:t>"la construcción del currículo es algo dinámico, no puedes prever en marzo, abril de un año lo que vas a hacer al año que viene. Yo, por ejemplo, que tengo clase en el segundo cuatrimestre, tengo que decir, ahora en marzo, abril o mayo o junio, lo que haré en enero, febrero del año que viene, sin conocer a qué alumnos, ni cuántos ni qué clase de alumnos”</w:t>
      </w:r>
      <w:r w:rsidRPr="00F77FFE">
        <w:rPr>
          <w:rFonts w:ascii="Times New Roman" w:hAnsi="Times New Roman"/>
          <w:sz w:val="24"/>
        </w:rPr>
        <w:t xml:space="preserve"> (ECSJ2).</w:t>
      </w:r>
    </w:p>
    <w:p w14:paraId="0FA7EC31" w14:textId="77777777"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 </w:t>
      </w:r>
    </w:p>
    <w:p w14:paraId="381CD54A" w14:textId="48512A54" w:rsidR="00F77FFE" w:rsidRPr="00F77FFE" w:rsidRDefault="00F77FFE" w:rsidP="00855BDD">
      <w:pPr>
        <w:ind w:firstLine="0"/>
        <w:rPr>
          <w:rFonts w:ascii="Times New Roman" w:hAnsi="Times New Roman"/>
          <w:b/>
          <w:i/>
          <w:sz w:val="24"/>
        </w:rPr>
      </w:pPr>
      <w:r w:rsidRPr="00F77FFE">
        <w:rPr>
          <w:rFonts w:ascii="Times New Roman" w:hAnsi="Times New Roman"/>
          <w:b/>
          <w:i/>
          <w:sz w:val="24"/>
        </w:rPr>
        <w:t>Contenido y estructura de la guía docente</w:t>
      </w:r>
    </w:p>
    <w:p w14:paraId="452F4848" w14:textId="35952884"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A la hora de valorar el modelo de guía docente que se viene empleando en la </w:t>
      </w:r>
      <w:r w:rsidR="006F00F2" w:rsidRPr="006F00F2">
        <w:rPr>
          <w:rFonts w:ascii="Times New Roman" w:hAnsi="Times New Roman"/>
          <w:sz w:val="24"/>
        </w:rPr>
        <w:t>Universidad de La Laguna,</w:t>
      </w:r>
      <w:r w:rsidRPr="006F00F2">
        <w:rPr>
          <w:rFonts w:ascii="Times New Roman" w:hAnsi="Times New Roman"/>
          <w:sz w:val="24"/>
        </w:rPr>
        <w:t xml:space="preserve"> el profesorado entrevistado consideró que </w:t>
      </w:r>
      <w:r w:rsidR="009A357E" w:rsidRPr="006F00F2">
        <w:rPr>
          <w:rFonts w:ascii="Times New Roman" w:hAnsi="Times New Roman"/>
          <w:sz w:val="24"/>
        </w:rPr>
        <w:t>era</w:t>
      </w:r>
      <w:r w:rsidRPr="006F00F2">
        <w:rPr>
          <w:rFonts w:ascii="Times New Roman" w:hAnsi="Times New Roman"/>
          <w:sz w:val="24"/>
        </w:rPr>
        <w:t xml:space="preserve"> una</w:t>
      </w:r>
      <w:r w:rsidRPr="00F77FFE">
        <w:rPr>
          <w:rFonts w:ascii="Times New Roman" w:hAnsi="Times New Roman"/>
          <w:sz w:val="24"/>
        </w:rPr>
        <w:t xml:space="preserve"> herramienta </w:t>
      </w:r>
      <w:r w:rsidRPr="00F77FFE">
        <w:rPr>
          <w:rFonts w:ascii="Times New Roman" w:hAnsi="Times New Roman"/>
          <w:sz w:val="24"/>
        </w:rPr>
        <w:lastRenderedPageBreak/>
        <w:t xml:space="preserve">útil para ofrecer al alumnado información básica sobre distintos aspectos de la asignatura. Efectivamente, </w:t>
      </w:r>
      <w:r w:rsidR="00834CAA">
        <w:rPr>
          <w:rFonts w:ascii="Times New Roman" w:hAnsi="Times New Roman"/>
          <w:sz w:val="24"/>
        </w:rPr>
        <w:t>desde la perspectiva de lo</w:t>
      </w:r>
      <w:r w:rsidRPr="00F77FFE">
        <w:rPr>
          <w:rFonts w:ascii="Times New Roman" w:hAnsi="Times New Roman"/>
          <w:sz w:val="24"/>
        </w:rPr>
        <w:t xml:space="preserve">s docentes entrevistados, la guía docente </w:t>
      </w:r>
      <w:r w:rsidR="00834CAA">
        <w:rPr>
          <w:rFonts w:ascii="Times New Roman" w:hAnsi="Times New Roman"/>
          <w:sz w:val="24"/>
        </w:rPr>
        <w:t>recogió</w:t>
      </w:r>
      <w:r w:rsidRPr="00F77FFE">
        <w:rPr>
          <w:rFonts w:ascii="Times New Roman" w:hAnsi="Times New Roman"/>
          <w:sz w:val="24"/>
        </w:rPr>
        <w:t xml:space="preserve"> datos que </w:t>
      </w:r>
      <w:r w:rsidR="009A357E">
        <w:rPr>
          <w:rFonts w:ascii="Times New Roman" w:hAnsi="Times New Roman"/>
          <w:sz w:val="24"/>
        </w:rPr>
        <w:t>eran</w:t>
      </w:r>
      <w:r w:rsidRPr="00F77FFE">
        <w:rPr>
          <w:rFonts w:ascii="Times New Roman" w:hAnsi="Times New Roman"/>
          <w:sz w:val="24"/>
        </w:rPr>
        <w:t xml:space="preserve"> de interés para el alumnado, tales como “</w:t>
      </w:r>
      <w:r w:rsidRPr="00F77FFE">
        <w:rPr>
          <w:rFonts w:ascii="Times New Roman" w:hAnsi="Times New Roman"/>
          <w:i/>
          <w:sz w:val="24"/>
        </w:rPr>
        <w:t>la dirección del profesor, el contacto vía teléfono oficial, correo electrónico, lugar donde está ubicado, horarios de tutoría, horarios de clase”</w:t>
      </w:r>
      <w:r w:rsidRPr="00F77FFE">
        <w:rPr>
          <w:rFonts w:ascii="Times New Roman" w:hAnsi="Times New Roman"/>
          <w:sz w:val="24"/>
        </w:rPr>
        <w:t xml:space="preserve"> (EAH2).</w:t>
      </w:r>
    </w:p>
    <w:p w14:paraId="41F4C82D" w14:textId="27D313E5"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No obstante, en lo que concierne a la parte más didáctica y académica de la guía docente, algunos de los entrevistados consideraron que </w:t>
      </w:r>
      <w:r w:rsidRPr="00F77FFE">
        <w:rPr>
          <w:rFonts w:ascii="Times New Roman" w:hAnsi="Times New Roman"/>
          <w:i/>
          <w:sz w:val="24"/>
        </w:rPr>
        <w:t>“sobran apartados”</w:t>
      </w:r>
      <w:r w:rsidRPr="00F77FFE">
        <w:rPr>
          <w:rFonts w:ascii="Times New Roman" w:hAnsi="Times New Roman"/>
          <w:sz w:val="24"/>
        </w:rPr>
        <w:t xml:space="preserve"> (EC2). </w:t>
      </w:r>
      <w:r w:rsidRPr="006F00F2">
        <w:rPr>
          <w:rFonts w:ascii="Times New Roman" w:hAnsi="Times New Roman"/>
          <w:sz w:val="24"/>
        </w:rPr>
        <w:t>Concretamente</w:t>
      </w:r>
      <w:r w:rsidR="00F31FDE" w:rsidRPr="006F00F2">
        <w:rPr>
          <w:rFonts w:ascii="Times New Roman" w:hAnsi="Times New Roman"/>
          <w:sz w:val="24"/>
        </w:rPr>
        <w:t>,</w:t>
      </w:r>
      <w:r w:rsidRPr="006F00F2">
        <w:rPr>
          <w:rFonts w:ascii="Times New Roman" w:hAnsi="Times New Roman"/>
          <w:sz w:val="24"/>
        </w:rPr>
        <w:t xml:space="preserve"> uno de los docentes señaló que la guía docente era una herramienta</w:t>
      </w:r>
      <w:r w:rsidRPr="00F77FFE">
        <w:rPr>
          <w:rFonts w:ascii="Times New Roman" w:hAnsi="Times New Roman"/>
          <w:sz w:val="24"/>
        </w:rPr>
        <w:t xml:space="preserve"> </w:t>
      </w:r>
      <w:r w:rsidRPr="00F77FFE">
        <w:rPr>
          <w:rFonts w:ascii="Times New Roman" w:hAnsi="Times New Roman"/>
          <w:i/>
          <w:sz w:val="24"/>
        </w:rPr>
        <w:t>“muy tipificada; tienes que seguir paso por paso y de forma muy estricta todo lo que te indican”</w:t>
      </w:r>
      <w:r w:rsidRPr="00F77FFE">
        <w:rPr>
          <w:rFonts w:ascii="Times New Roman" w:hAnsi="Times New Roman"/>
          <w:sz w:val="24"/>
        </w:rPr>
        <w:t xml:space="preserve"> (EAH2”). Las opiniones del profesorado también reflejaron que la veían </w:t>
      </w:r>
      <w:r w:rsidR="00834CAA">
        <w:rPr>
          <w:rFonts w:ascii="Times New Roman" w:hAnsi="Times New Roman"/>
          <w:i/>
          <w:sz w:val="24"/>
        </w:rPr>
        <w:t>“demasiada amplia</w:t>
      </w:r>
      <w:r w:rsidRPr="00F77FFE">
        <w:rPr>
          <w:rFonts w:ascii="Times New Roman" w:hAnsi="Times New Roman"/>
          <w:i/>
          <w:sz w:val="24"/>
        </w:rPr>
        <w:t>. Hay guías docentes, a lo mejor, de diez páginas, más o menos, entonces yo encuentro demasiada información totalmente superflua que no sirve para ti ni para el alumno a la hora de la práctica”</w:t>
      </w:r>
      <w:r w:rsidRPr="00F77FFE">
        <w:rPr>
          <w:rFonts w:ascii="Times New Roman" w:hAnsi="Times New Roman"/>
          <w:sz w:val="24"/>
        </w:rPr>
        <w:t xml:space="preserve"> (EAH2). En consecuencia, entendieron que </w:t>
      </w:r>
      <w:r w:rsidRPr="00F77FFE">
        <w:rPr>
          <w:rFonts w:ascii="Times New Roman" w:hAnsi="Times New Roman"/>
          <w:i/>
          <w:sz w:val="24"/>
        </w:rPr>
        <w:t>“el exceso de información no favorece a que el alumno siga consultando la guía”</w:t>
      </w:r>
      <w:r w:rsidRPr="00F77FFE">
        <w:rPr>
          <w:rFonts w:ascii="Times New Roman" w:hAnsi="Times New Roman"/>
          <w:sz w:val="24"/>
        </w:rPr>
        <w:t xml:space="preserve"> (ECSJ1). </w:t>
      </w:r>
      <w:r w:rsidR="009A357E">
        <w:rPr>
          <w:rFonts w:ascii="Times New Roman" w:hAnsi="Times New Roman"/>
          <w:sz w:val="24"/>
        </w:rPr>
        <w:t>Así, en el grupo de discusión se planteó que</w:t>
      </w:r>
      <w:r w:rsidRPr="00F77FFE">
        <w:rPr>
          <w:rFonts w:ascii="Times New Roman" w:hAnsi="Times New Roman"/>
          <w:sz w:val="24"/>
        </w:rPr>
        <w:t xml:space="preserve"> </w:t>
      </w:r>
      <w:r w:rsidRPr="00F77FFE">
        <w:rPr>
          <w:rFonts w:ascii="Times New Roman" w:hAnsi="Times New Roman"/>
          <w:i/>
          <w:sz w:val="24"/>
        </w:rPr>
        <w:t>“la guía docente tendría que ser un documento más sencillo, tanto en sus funciones como en su estructura de cara al alumnado”</w:t>
      </w:r>
      <w:r w:rsidRPr="00F77FFE">
        <w:rPr>
          <w:rFonts w:ascii="Times New Roman" w:hAnsi="Times New Roman"/>
          <w:sz w:val="24"/>
        </w:rPr>
        <w:t xml:space="preserve"> (DEC).</w:t>
      </w:r>
    </w:p>
    <w:p w14:paraId="66B02DE7" w14:textId="12502ECE"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De los apartados de la guía docente, uno de los más controvertidos fue el del cronograma. </w:t>
      </w:r>
      <w:r w:rsidR="00FB0642">
        <w:rPr>
          <w:rFonts w:ascii="Times New Roman" w:hAnsi="Times New Roman"/>
          <w:sz w:val="24"/>
        </w:rPr>
        <w:t>Con relación a</w:t>
      </w:r>
      <w:r w:rsidR="009C333D">
        <w:rPr>
          <w:rFonts w:ascii="Times New Roman" w:hAnsi="Times New Roman"/>
          <w:sz w:val="24"/>
        </w:rPr>
        <w:t xml:space="preserve"> ello</w:t>
      </w:r>
      <w:r w:rsidRPr="00F77FFE">
        <w:rPr>
          <w:rFonts w:ascii="Times New Roman" w:hAnsi="Times New Roman"/>
          <w:sz w:val="24"/>
        </w:rPr>
        <w:t>, el profesorado entrevistado consideró que “</w:t>
      </w:r>
      <w:r w:rsidRPr="00F77FFE">
        <w:rPr>
          <w:rFonts w:ascii="Times New Roman" w:hAnsi="Times New Roman"/>
          <w:i/>
          <w:sz w:val="24"/>
        </w:rPr>
        <w:t>el cronograma es lo que a veces es más complicado”</w:t>
      </w:r>
      <w:r w:rsidRPr="00F77FFE">
        <w:rPr>
          <w:rFonts w:ascii="Times New Roman" w:hAnsi="Times New Roman"/>
          <w:sz w:val="24"/>
        </w:rPr>
        <w:t xml:space="preserve"> (EC1). </w:t>
      </w:r>
      <w:r w:rsidR="009C333D">
        <w:rPr>
          <w:rFonts w:ascii="Times New Roman" w:hAnsi="Times New Roman"/>
          <w:sz w:val="24"/>
        </w:rPr>
        <w:t xml:space="preserve">Otros sugirieron que este apartado </w:t>
      </w:r>
      <w:r w:rsidRPr="00F77FFE">
        <w:rPr>
          <w:rFonts w:ascii="Times New Roman" w:hAnsi="Times New Roman"/>
          <w:i/>
          <w:sz w:val="24"/>
        </w:rPr>
        <w:t>“lo relleno porque me obligan a rellenarlo, per</w:t>
      </w:r>
      <w:r w:rsidR="00834CAA">
        <w:rPr>
          <w:rFonts w:ascii="Times New Roman" w:hAnsi="Times New Roman"/>
          <w:i/>
          <w:sz w:val="24"/>
        </w:rPr>
        <w:t xml:space="preserve">o realmente a </w:t>
      </w:r>
      <w:r w:rsidRPr="00F77FFE">
        <w:rPr>
          <w:rFonts w:ascii="Times New Roman" w:hAnsi="Times New Roman"/>
          <w:i/>
          <w:sz w:val="24"/>
        </w:rPr>
        <w:t>mí esa parte me sobra”</w:t>
      </w:r>
      <w:r w:rsidRPr="00F77FFE">
        <w:rPr>
          <w:rFonts w:ascii="Times New Roman" w:hAnsi="Times New Roman"/>
          <w:sz w:val="24"/>
        </w:rPr>
        <w:t xml:space="preserve"> (EC2).</w:t>
      </w:r>
    </w:p>
    <w:p w14:paraId="0FDDE2AB" w14:textId="097D516A" w:rsidR="00F77FFE" w:rsidRPr="00F77FFE" w:rsidRDefault="00F77FFE" w:rsidP="00855BDD">
      <w:pPr>
        <w:ind w:firstLine="709"/>
        <w:rPr>
          <w:rFonts w:ascii="Times New Roman" w:hAnsi="Times New Roman"/>
          <w:i/>
          <w:sz w:val="24"/>
        </w:rPr>
      </w:pPr>
      <w:r w:rsidRPr="00F77FFE">
        <w:rPr>
          <w:rFonts w:ascii="Times New Roman" w:hAnsi="Times New Roman"/>
          <w:sz w:val="24"/>
        </w:rPr>
        <w:t xml:space="preserve">Como contrapartida al modelo de guía docente actual, algunos de los profesores entrevistados propusieron cambios de cara a mejorar </w:t>
      </w:r>
      <w:r w:rsidR="00834CAA" w:rsidRPr="00F77FFE">
        <w:rPr>
          <w:rFonts w:ascii="Times New Roman" w:hAnsi="Times New Roman"/>
          <w:sz w:val="24"/>
        </w:rPr>
        <w:t>esta herramienta</w:t>
      </w:r>
      <w:r w:rsidR="00834CAA">
        <w:rPr>
          <w:rFonts w:ascii="Times New Roman" w:hAnsi="Times New Roman"/>
          <w:sz w:val="24"/>
        </w:rPr>
        <w:t xml:space="preserve"> sugiriendo que</w:t>
      </w:r>
      <w:r w:rsidRPr="00F77FFE">
        <w:rPr>
          <w:rFonts w:ascii="Times New Roman" w:hAnsi="Times New Roman"/>
          <w:sz w:val="24"/>
        </w:rPr>
        <w:t xml:space="preserve"> </w:t>
      </w:r>
      <w:r w:rsidRPr="00F77FFE">
        <w:rPr>
          <w:rFonts w:ascii="Times New Roman" w:hAnsi="Times New Roman"/>
          <w:i/>
          <w:sz w:val="24"/>
        </w:rPr>
        <w:t>“me quedaría sobre todo con la metodología, que es importante, co</w:t>
      </w:r>
      <w:r w:rsidR="00834CAA">
        <w:rPr>
          <w:rFonts w:ascii="Times New Roman" w:hAnsi="Times New Roman"/>
          <w:i/>
          <w:sz w:val="24"/>
        </w:rPr>
        <w:t>n los contenidos, evidentemente</w:t>
      </w:r>
      <w:r w:rsidRPr="00F77FFE">
        <w:rPr>
          <w:rFonts w:ascii="Times New Roman" w:hAnsi="Times New Roman"/>
          <w:i/>
          <w:sz w:val="24"/>
        </w:rPr>
        <w:t xml:space="preserve">” </w:t>
      </w:r>
      <w:r w:rsidRPr="00F77FFE">
        <w:rPr>
          <w:rFonts w:ascii="Times New Roman" w:hAnsi="Times New Roman"/>
          <w:sz w:val="24"/>
        </w:rPr>
        <w:t xml:space="preserve">(EAH1). </w:t>
      </w:r>
      <w:r w:rsidR="00352E0D">
        <w:rPr>
          <w:rFonts w:ascii="Times New Roman" w:hAnsi="Times New Roman"/>
          <w:sz w:val="24"/>
        </w:rPr>
        <w:t>Otro</w:t>
      </w:r>
      <w:r w:rsidRPr="00F77FFE">
        <w:rPr>
          <w:rFonts w:ascii="Times New Roman" w:hAnsi="Times New Roman"/>
          <w:sz w:val="24"/>
        </w:rPr>
        <w:t xml:space="preserve"> docente</w:t>
      </w:r>
      <w:r w:rsidR="00352E0D">
        <w:rPr>
          <w:rFonts w:ascii="Times New Roman" w:hAnsi="Times New Roman"/>
          <w:sz w:val="24"/>
        </w:rPr>
        <w:t xml:space="preserve"> </w:t>
      </w:r>
      <w:r w:rsidRPr="00F77FFE">
        <w:rPr>
          <w:rFonts w:ascii="Times New Roman" w:hAnsi="Times New Roman"/>
          <w:sz w:val="24"/>
        </w:rPr>
        <w:t>comentó que “</w:t>
      </w:r>
      <w:r w:rsidRPr="00F77FFE">
        <w:rPr>
          <w:rFonts w:ascii="Times New Roman" w:hAnsi="Times New Roman"/>
          <w:i/>
          <w:sz w:val="24"/>
        </w:rPr>
        <w:t>lo fundamental es el temario, el contenido y la evaluación, todo lo demás me parece burocrático” (ECS1).</w:t>
      </w:r>
    </w:p>
    <w:p w14:paraId="4E4D753D" w14:textId="7E282F9A" w:rsidR="00F77FFE" w:rsidRPr="00F77FFE" w:rsidRDefault="00F77FFE" w:rsidP="00855BDD">
      <w:pPr>
        <w:ind w:firstLine="709"/>
        <w:rPr>
          <w:rFonts w:ascii="Times New Roman" w:hAnsi="Times New Roman"/>
          <w:sz w:val="24"/>
        </w:rPr>
      </w:pPr>
      <w:r w:rsidRPr="00F77FFE">
        <w:rPr>
          <w:rFonts w:ascii="Times New Roman" w:hAnsi="Times New Roman"/>
          <w:sz w:val="24"/>
        </w:rPr>
        <w:t>La simplificación de apartados se abordó también en el grupo de discusión, reconociendo la importancia de este recurso, pero demandando que las guías docentes fueran “</w:t>
      </w:r>
      <w:r w:rsidRPr="00F77FFE">
        <w:rPr>
          <w:rFonts w:ascii="Times New Roman" w:hAnsi="Times New Roman"/>
          <w:i/>
          <w:sz w:val="24"/>
        </w:rPr>
        <w:t>documentos prácticos, útiles de verdad”</w:t>
      </w:r>
      <w:r w:rsidRPr="00F77FFE">
        <w:rPr>
          <w:rFonts w:ascii="Times New Roman" w:hAnsi="Times New Roman"/>
          <w:sz w:val="24"/>
        </w:rPr>
        <w:t xml:space="preserve"> (DEC). De manera más específica, se propuso </w:t>
      </w:r>
      <w:r w:rsidRPr="00F77FFE">
        <w:rPr>
          <w:rFonts w:ascii="Times New Roman" w:hAnsi="Times New Roman"/>
          <w:i/>
          <w:sz w:val="24"/>
        </w:rPr>
        <w:t>“una guía en la cual aparecieran las competencias más importantes de la asignatura, las mínimas posibles, los tópicos a desarrollar como contenidos y algunos criterios de evaluación”</w:t>
      </w:r>
      <w:r w:rsidRPr="00F77FFE">
        <w:rPr>
          <w:rFonts w:ascii="Times New Roman" w:hAnsi="Times New Roman"/>
          <w:sz w:val="24"/>
        </w:rPr>
        <w:t xml:space="preserve"> (ECSJ2). </w:t>
      </w:r>
    </w:p>
    <w:p w14:paraId="0C978B11" w14:textId="77777777"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 </w:t>
      </w:r>
    </w:p>
    <w:p w14:paraId="2CBEBFDA" w14:textId="5C000771" w:rsidR="00F77FFE" w:rsidRPr="00F77FFE" w:rsidRDefault="00F77FFE" w:rsidP="00855BDD">
      <w:pPr>
        <w:ind w:firstLine="0"/>
        <w:rPr>
          <w:rFonts w:ascii="Times New Roman" w:hAnsi="Times New Roman"/>
          <w:b/>
          <w:i/>
          <w:sz w:val="24"/>
        </w:rPr>
      </w:pPr>
      <w:r w:rsidRPr="00F77FFE">
        <w:rPr>
          <w:rFonts w:ascii="Times New Roman" w:hAnsi="Times New Roman"/>
          <w:b/>
          <w:i/>
          <w:sz w:val="24"/>
        </w:rPr>
        <w:t>Cumplimiento de la propuesta recogida en la guía docente</w:t>
      </w:r>
    </w:p>
    <w:p w14:paraId="2CD2DC46" w14:textId="664B2239" w:rsidR="00F77FFE" w:rsidRPr="00F77FFE" w:rsidRDefault="00F77FFE" w:rsidP="006F00F2">
      <w:pPr>
        <w:ind w:firstLine="709"/>
        <w:rPr>
          <w:rFonts w:ascii="Times New Roman" w:hAnsi="Times New Roman"/>
          <w:sz w:val="24"/>
        </w:rPr>
      </w:pPr>
      <w:r w:rsidRPr="00F77FFE">
        <w:rPr>
          <w:rFonts w:ascii="Times New Roman" w:hAnsi="Times New Roman"/>
          <w:sz w:val="24"/>
        </w:rPr>
        <w:t xml:space="preserve">Respecto al grado de cumplimiento de la propuesta recogida en la guía docente, el análisis de la información obtenida a partir de las entrevistas y el grupo de discusión, sugirió que, por un lado, había un grupo de docentes que cumplieron con lo establecido en el documento y, por otro, </w:t>
      </w:r>
      <w:r w:rsidR="006F00F2">
        <w:rPr>
          <w:rFonts w:ascii="Times New Roman" w:hAnsi="Times New Roman"/>
          <w:sz w:val="24"/>
        </w:rPr>
        <w:t xml:space="preserve">había profesores que no mantenían la correspondencia entre lo que </w:t>
      </w:r>
      <w:r w:rsidR="004835E2">
        <w:rPr>
          <w:rFonts w:ascii="Times New Roman" w:hAnsi="Times New Roman"/>
          <w:sz w:val="24"/>
        </w:rPr>
        <w:t xml:space="preserve">se </w:t>
      </w:r>
      <w:r w:rsidR="006F00F2">
        <w:rPr>
          <w:rFonts w:ascii="Times New Roman" w:hAnsi="Times New Roman"/>
          <w:sz w:val="24"/>
        </w:rPr>
        <w:t xml:space="preserve">había establecido y determinado en la guía docente con la práctica educativa. </w:t>
      </w:r>
    </w:p>
    <w:p w14:paraId="3059273F" w14:textId="04A3197B"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En relación con el profesorado que </w:t>
      </w:r>
      <w:r w:rsidR="0022205F">
        <w:rPr>
          <w:rFonts w:ascii="Times New Roman" w:hAnsi="Times New Roman"/>
          <w:sz w:val="24"/>
        </w:rPr>
        <w:t>manifestó</w:t>
      </w:r>
      <w:r w:rsidRPr="00F77FFE">
        <w:rPr>
          <w:rFonts w:ascii="Times New Roman" w:hAnsi="Times New Roman"/>
          <w:sz w:val="24"/>
        </w:rPr>
        <w:t xml:space="preserve"> cumplir con la guía docente, comentaron que </w:t>
      </w:r>
      <w:r w:rsidRPr="00F77FFE">
        <w:rPr>
          <w:rFonts w:ascii="Times New Roman" w:hAnsi="Times New Roman"/>
          <w:i/>
          <w:sz w:val="24"/>
        </w:rPr>
        <w:t>“en general sí se cumple… otra cuestión es la profundidad que se trate cada uno de ellos”</w:t>
      </w:r>
      <w:r w:rsidRPr="00F77FFE">
        <w:rPr>
          <w:rFonts w:ascii="Times New Roman" w:hAnsi="Times New Roman"/>
          <w:sz w:val="24"/>
        </w:rPr>
        <w:t xml:space="preserve"> (EIA1). Otro de los docentes señaló que </w:t>
      </w:r>
      <w:r w:rsidRPr="00F77FFE">
        <w:rPr>
          <w:rFonts w:ascii="Times New Roman" w:hAnsi="Times New Roman"/>
          <w:i/>
          <w:sz w:val="24"/>
        </w:rPr>
        <w:t>“las mayores correspondencias se dan entre el contenido, lo doy íntegro, ahí no hay ningún tipo de desviación y en lo que se refiere al sistema evaluativo”</w:t>
      </w:r>
      <w:r w:rsidRPr="00F77FFE">
        <w:rPr>
          <w:rFonts w:ascii="Times New Roman" w:hAnsi="Times New Roman"/>
          <w:sz w:val="24"/>
        </w:rPr>
        <w:t xml:space="preserve"> (ECS1).</w:t>
      </w:r>
    </w:p>
    <w:p w14:paraId="6743701B" w14:textId="7DFFCB0C" w:rsidR="00F77FFE" w:rsidRPr="00F77FFE" w:rsidRDefault="00F77FFE" w:rsidP="00855BDD">
      <w:pPr>
        <w:ind w:firstLine="709"/>
        <w:rPr>
          <w:rFonts w:ascii="Times New Roman" w:hAnsi="Times New Roman"/>
          <w:sz w:val="24"/>
        </w:rPr>
      </w:pPr>
      <w:r w:rsidRPr="00F77FFE">
        <w:rPr>
          <w:rFonts w:ascii="Times New Roman" w:hAnsi="Times New Roman"/>
          <w:sz w:val="24"/>
        </w:rPr>
        <w:t xml:space="preserve">Por el contrario, aquellos docentes que no cumplieron con lo establecido en la guía argumentaron que había que tener en cuenta que </w:t>
      </w:r>
      <w:r w:rsidRPr="00F77FFE">
        <w:rPr>
          <w:rFonts w:ascii="Times New Roman" w:hAnsi="Times New Roman"/>
          <w:i/>
          <w:sz w:val="24"/>
        </w:rPr>
        <w:t>“la guía docente l</w:t>
      </w:r>
      <w:r w:rsidR="0022205F">
        <w:rPr>
          <w:rFonts w:ascii="Times New Roman" w:hAnsi="Times New Roman"/>
          <w:i/>
          <w:sz w:val="24"/>
        </w:rPr>
        <w:t>a</w:t>
      </w:r>
      <w:r w:rsidRPr="00F77FFE">
        <w:rPr>
          <w:rFonts w:ascii="Times New Roman" w:hAnsi="Times New Roman"/>
          <w:i/>
          <w:sz w:val="24"/>
        </w:rPr>
        <w:t xml:space="preserve"> hacemos con un año de antelación, entonces hay cosas que son imponderables y complicado de ajustar”</w:t>
      </w:r>
      <w:r w:rsidRPr="00F77FFE">
        <w:rPr>
          <w:rFonts w:ascii="Times New Roman" w:hAnsi="Times New Roman"/>
          <w:sz w:val="24"/>
        </w:rPr>
        <w:t xml:space="preserve"> (EIA2). Esta falta de correspondencia también vino determinada por el propio diseño de la guía docente. De hecho, algunos de los informantes clave que fueron entrevistados </w:t>
      </w:r>
      <w:r w:rsidRPr="00F77FFE">
        <w:rPr>
          <w:rFonts w:ascii="Times New Roman" w:hAnsi="Times New Roman"/>
          <w:sz w:val="24"/>
        </w:rPr>
        <w:lastRenderedPageBreak/>
        <w:t xml:space="preserve">indicaron que había guías docentes con </w:t>
      </w:r>
      <w:r w:rsidRPr="00F77FFE">
        <w:rPr>
          <w:rFonts w:ascii="Times New Roman" w:hAnsi="Times New Roman"/>
          <w:i/>
          <w:sz w:val="24"/>
        </w:rPr>
        <w:t>“no sé cuántas competencias… y eso es imposible de abordarlo”</w:t>
      </w:r>
      <w:r w:rsidRPr="00F77FFE">
        <w:rPr>
          <w:rFonts w:ascii="Times New Roman" w:hAnsi="Times New Roman"/>
          <w:sz w:val="24"/>
        </w:rPr>
        <w:t xml:space="preserve"> (ECSJ1).</w:t>
      </w:r>
    </w:p>
    <w:p w14:paraId="21309BF2" w14:textId="667867D3" w:rsidR="00F77FFE" w:rsidRPr="00F77FFE" w:rsidRDefault="006F00F2" w:rsidP="00855BDD">
      <w:pPr>
        <w:ind w:firstLine="709"/>
        <w:rPr>
          <w:rFonts w:ascii="Times New Roman" w:hAnsi="Times New Roman"/>
          <w:i/>
          <w:sz w:val="24"/>
        </w:rPr>
      </w:pPr>
      <w:r>
        <w:rPr>
          <w:rFonts w:ascii="Times New Roman" w:hAnsi="Times New Roman"/>
          <w:sz w:val="24"/>
        </w:rPr>
        <w:t>Otro profesor comentó</w:t>
      </w:r>
      <w:r w:rsidR="00F77FFE" w:rsidRPr="00F77FFE">
        <w:rPr>
          <w:rFonts w:ascii="Times New Roman" w:hAnsi="Times New Roman"/>
          <w:sz w:val="24"/>
        </w:rPr>
        <w:t xml:space="preserve"> la dificultad que </w:t>
      </w:r>
      <w:r>
        <w:rPr>
          <w:rFonts w:ascii="Times New Roman" w:hAnsi="Times New Roman"/>
          <w:sz w:val="24"/>
        </w:rPr>
        <w:t>tuvo</w:t>
      </w:r>
      <w:r w:rsidR="00F77FFE" w:rsidRPr="00F77FFE">
        <w:rPr>
          <w:rFonts w:ascii="Times New Roman" w:hAnsi="Times New Roman"/>
          <w:sz w:val="24"/>
        </w:rPr>
        <w:t xml:space="preserve"> cuando </w:t>
      </w:r>
      <w:r>
        <w:rPr>
          <w:rFonts w:ascii="Times New Roman" w:hAnsi="Times New Roman"/>
          <w:sz w:val="24"/>
        </w:rPr>
        <w:t>asumió</w:t>
      </w:r>
      <w:r w:rsidR="00F77FFE" w:rsidRPr="00F77FFE">
        <w:rPr>
          <w:rFonts w:ascii="Times New Roman" w:hAnsi="Times New Roman"/>
          <w:sz w:val="24"/>
        </w:rPr>
        <w:t xml:space="preserve"> la docencia en una asignatura y se </w:t>
      </w:r>
      <w:r>
        <w:rPr>
          <w:rFonts w:ascii="Times New Roman" w:hAnsi="Times New Roman"/>
          <w:sz w:val="24"/>
        </w:rPr>
        <w:t>encontró</w:t>
      </w:r>
      <w:r w:rsidR="00F77FFE" w:rsidRPr="00F77FFE">
        <w:rPr>
          <w:rFonts w:ascii="Times New Roman" w:hAnsi="Times New Roman"/>
          <w:sz w:val="24"/>
        </w:rPr>
        <w:t xml:space="preserve"> con un planteamiento </w:t>
      </w:r>
      <w:r w:rsidR="006300AC">
        <w:rPr>
          <w:rFonts w:ascii="Times New Roman" w:hAnsi="Times New Roman"/>
          <w:sz w:val="24"/>
        </w:rPr>
        <w:t>formativo</w:t>
      </w:r>
      <w:r w:rsidR="00F77FFE" w:rsidRPr="00F77FFE">
        <w:rPr>
          <w:rFonts w:ascii="Times New Roman" w:hAnsi="Times New Roman"/>
          <w:sz w:val="24"/>
        </w:rPr>
        <w:t xml:space="preserve"> que no </w:t>
      </w:r>
      <w:r>
        <w:rPr>
          <w:rFonts w:ascii="Times New Roman" w:hAnsi="Times New Roman"/>
          <w:sz w:val="24"/>
        </w:rPr>
        <w:t>compartía</w:t>
      </w:r>
      <w:r w:rsidR="00F77FFE" w:rsidRPr="00F77FFE">
        <w:rPr>
          <w:rFonts w:ascii="Times New Roman" w:hAnsi="Times New Roman"/>
          <w:sz w:val="24"/>
        </w:rPr>
        <w:t>. En esta línea</w:t>
      </w:r>
      <w:r w:rsidR="00F31FDE" w:rsidRPr="002346EF">
        <w:rPr>
          <w:rFonts w:ascii="Times New Roman" w:hAnsi="Times New Roman"/>
          <w:sz w:val="24"/>
        </w:rPr>
        <w:t>,</w:t>
      </w:r>
      <w:r w:rsidR="00F77FFE" w:rsidRPr="00F77FFE">
        <w:rPr>
          <w:rFonts w:ascii="Times New Roman" w:hAnsi="Times New Roman"/>
          <w:sz w:val="24"/>
        </w:rPr>
        <w:t xml:space="preserve"> </w:t>
      </w:r>
      <w:r>
        <w:rPr>
          <w:rFonts w:ascii="Times New Roman" w:hAnsi="Times New Roman"/>
          <w:sz w:val="24"/>
        </w:rPr>
        <w:t>señaló</w:t>
      </w:r>
      <w:r w:rsidR="00F77FFE" w:rsidRPr="00F77FFE">
        <w:rPr>
          <w:rFonts w:ascii="Times New Roman" w:hAnsi="Times New Roman"/>
          <w:sz w:val="24"/>
        </w:rPr>
        <w:t xml:space="preserve"> que “</w:t>
      </w:r>
      <w:r w:rsidR="00F77FFE" w:rsidRPr="00F77FFE">
        <w:rPr>
          <w:rFonts w:ascii="Times New Roman" w:hAnsi="Times New Roman"/>
          <w:i/>
          <w:sz w:val="24"/>
        </w:rPr>
        <w:t>imparto una asignatura donde los temas no los puedo tocar y es que no tienen nada que ver con lo que se tendría que dar en esa materia” (EC2).</w:t>
      </w:r>
    </w:p>
    <w:p w14:paraId="60DB481D" w14:textId="6CD27E96" w:rsidR="00F77FFE" w:rsidRPr="00FB0642" w:rsidRDefault="00F77FFE" w:rsidP="00855BDD">
      <w:pPr>
        <w:ind w:firstLine="709"/>
        <w:rPr>
          <w:rFonts w:ascii="Times New Roman" w:hAnsi="Times New Roman"/>
          <w:sz w:val="24"/>
        </w:rPr>
      </w:pPr>
      <w:r w:rsidRPr="00F77FFE">
        <w:rPr>
          <w:rFonts w:ascii="Times New Roman" w:hAnsi="Times New Roman"/>
          <w:sz w:val="24"/>
        </w:rPr>
        <w:t xml:space="preserve">En el grupo de discusión </w:t>
      </w:r>
      <w:r w:rsidR="0029145E">
        <w:rPr>
          <w:rFonts w:ascii="Times New Roman" w:hAnsi="Times New Roman"/>
          <w:sz w:val="24"/>
        </w:rPr>
        <w:t xml:space="preserve">también </w:t>
      </w:r>
      <w:r w:rsidRPr="00F77FFE">
        <w:rPr>
          <w:rFonts w:ascii="Times New Roman" w:hAnsi="Times New Roman"/>
          <w:sz w:val="24"/>
        </w:rPr>
        <w:t>se puso de manifiesto la disyuntiva existente entre la</w:t>
      </w:r>
      <w:r w:rsidR="0029145E">
        <w:rPr>
          <w:rFonts w:ascii="Times New Roman" w:hAnsi="Times New Roman"/>
          <w:sz w:val="24"/>
        </w:rPr>
        <w:t xml:space="preserve"> propuesta recogida en las</w:t>
      </w:r>
      <w:r w:rsidRPr="00F77FFE">
        <w:rPr>
          <w:rFonts w:ascii="Times New Roman" w:hAnsi="Times New Roman"/>
          <w:sz w:val="24"/>
        </w:rPr>
        <w:t xml:space="preserve"> guías docentes y la práctica educativa. Uno de los participantes comentó que </w:t>
      </w:r>
      <w:r w:rsidRPr="00F77FFE">
        <w:rPr>
          <w:rFonts w:ascii="Times New Roman" w:hAnsi="Times New Roman"/>
          <w:i/>
          <w:sz w:val="24"/>
        </w:rPr>
        <w:t xml:space="preserve">“en uno de los procesos de acreditación, se detectó una guía en la que se recogía un contenido y unos criterios de evaluación que no tenían nada que ver </w:t>
      </w:r>
      <w:r w:rsidRPr="00FB0642">
        <w:rPr>
          <w:rFonts w:ascii="Times New Roman" w:hAnsi="Times New Roman"/>
          <w:i/>
          <w:sz w:val="24"/>
        </w:rPr>
        <w:t>con el título; como si se tratara de una guía docente sobre cine y el contenido que se recogía era sobre radio”</w:t>
      </w:r>
      <w:r w:rsidRPr="00FB0642">
        <w:rPr>
          <w:rFonts w:ascii="Times New Roman" w:hAnsi="Times New Roman"/>
          <w:sz w:val="24"/>
        </w:rPr>
        <w:t xml:space="preserve"> (UCAL). </w:t>
      </w:r>
    </w:p>
    <w:p w14:paraId="61B2CC85" w14:textId="6CA8CA28" w:rsidR="00F77FFE" w:rsidRPr="00A85DF0" w:rsidRDefault="00A539B8" w:rsidP="00855BDD">
      <w:pPr>
        <w:ind w:firstLine="709"/>
        <w:rPr>
          <w:rFonts w:ascii="Times New Roman" w:hAnsi="Times New Roman"/>
          <w:sz w:val="24"/>
        </w:rPr>
      </w:pPr>
      <w:r w:rsidRPr="00FB0642">
        <w:rPr>
          <w:rFonts w:ascii="Times New Roman" w:hAnsi="Times New Roman"/>
          <w:sz w:val="24"/>
        </w:rPr>
        <w:t>En cuanto</w:t>
      </w:r>
      <w:r w:rsidR="00F77FFE" w:rsidRPr="00FB0642">
        <w:rPr>
          <w:rFonts w:ascii="Times New Roman" w:hAnsi="Times New Roman"/>
          <w:sz w:val="24"/>
        </w:rPr>
        <w:t xml:space="preserve"> a es</w:t>
      </w:r>
      <w:r w:rsidR="00DE16B9" w:rsidRPr="00FB0642">
        <w:rPr>
          <w:rFonts w:ascii="Times New Roman" w:hAnsi="Times New Roman"/>
          <w:sz w:val="24"/>
        </w:rPr>
        <w:t>ta dimensión</w:t>
      </w:r>
      <w:r w:rsidR="00F77FFE" w:rsidRPr="00FB0642">
        <w:rPr>
          <w:rFonts w:ascii="Times New Roman" w:hAnsi="Times New Roman"/>
          <w:sz w:val="24"/>
        </w:rPr>
        <w:t xml:space="preserve">, el estudiante que participó en el grupo de discusión </w:t>
      </w:r>
      <w:r w:rsidR="00DE16B9" w:rsidRPr="00FB0642">
        <w:rPr>
          <w:rFonts w:ascii="Times New Roman" w:hAnsi="Times New Roman"/>
          <w:sz w:val="24"/>
        </w:rPr>
        <w:t>indicó</w:t>
      </w:r>
      <w:r w:rsidR="00F77FFE" w:rsidRPr="00FB0642">
        <w:rPr>
          <w:rFonts w:ascii="Times New Roman" w:hAnsi="Times New Roman"/>
          <w:sz w:val="24"/>
        </w:rPr>
        <w:t xml:space="preserve"> que “</w:t>
      </w:r>
      <w:r w:rsidR="00F77FFE" w:rsidRPr="00FB0642">
        <w:rPr>
          <w:rFonts w:ascii="Times New Roman" w:hAnsi="Times New Roman"/>
          <w:i/>
          <w:sz w:val="24"/>
        </w:rPr>
        <w:t xml:space="preserve">la misma asignatura en Educación Infantil, por la mañana dan contenidos de sociales y en el grupo de tarde se habla de </w:t>
      </w:r>
      <w:r w:rsidR="008D77A4" w:rsidRPr="00FB0642">
        <w:rPr>
          <w:rFonts w:ascii="Times New Roman" w:hAnsi="Times New Roman"/>
          <w:i/>
          <w:sz w:val="24"/>
        </w:rPr>
        <w:t>otros</w:t>
      </w:r>
      <w:r w:rsidR="00923FDE" w:rsidRPr="00FB0642">
        <w:rPr>
          <w:rFonts w:ascii="Times New Roman" w:hAnsi="Times New Roman"/>
          <w:i/>
          <w:sz w:val="24"/>
        </w:rPr>
        <w:t>”</w:t>
      </w:r>
      <w:r w:rsidR="00F77FFE" w:rsidRPr="00FB0642">
        <w:rPr>
          <w:rFonts w:ascii="Times New Roman" w:hAnsi="Times New Roman"/>
          <w:sz w:val="24"/>
        </w:rPr>
        <w:t xml:space="preserve"> (EU). Por estos motivos, se señaló que las comisiones de curso constituyen un espacio importante para plantear este tipo de problemas y disfunciones. Sin </w:t>
      </w:r>
      <w:r w:rsidR="00F77FFE" w:rsidRPr="00F77FFE">
        <w:rPr>
          <w:rFonts w:ascii="Times New Roman" w:hAnsi="Times New Roman"/>
          <w:sz w:val="24"/>
        </w:rPr>
        <w:t xml:space="preserve">embargo, </w:t>
      </w:r>
      <w:r w:rsidR="008D77A4">
        <w:rPr>
          <w:rFonts w:ascii="Times New Roman" w:hAnsi="Times New Roman"/>
          <w:sz w:val="24"/>
        </w:rPr>
        <w:t xml:space="preserve">este mismo estudiante </w:t>
      </w:r>
      <w:r w:rsidR="00923FDE">
        <w:rPr>
          <w:rFonts w:ascii="Times New Roman" w:hAnsi="Times New Roman"/>
          <w:sz w:val="24"/>
        </w:rPr>
        <w:t xml:space="preserve">sugirió </w:t>
      </w:r>
      <w:r w:rsidR="00F77FFE" w:rsidRPr="00F77FFE">
        <w:rPr>
          <w:rFonts w:ascii="Times New Roman" w:hAnsi="Times New Roman"/>
          <w:sz w:val="24"/>
        </w:rPr>
        <w:t xml:space="preserve">que otro problema era que a las comisiones de curso </w:t>
      </w:r>
      <w:r w:rsidR="00F77FFE" w:rsidRPr="00F77FFE">
        <w:rPr>
          <w:rFonts w:ascii="Times New Roman" w:hAnsi="Times New Roman"/>
          <w:i/>
          <w:sz w:val="24"/>
        </w:rPr>
        <w:t>“no acuden todos los profesores</w:t>
      </w:r>
      <w:r w:rsidR="00923FDE">
        <w:rPr>
          <w:rFonts w:ascii="Times New Roman" w:hAnsi="Times New Roman"/>
          <w:i/>
          <w:sz w:val="24"/>
        </w:rPr>
        <w:t>;</w:t>
      </w:r>
      <w:r w:rsidR="00F77FFE" w:rsidRPr="00F77FFE">
        <w:rPr>
          <w:rFonts w:ascii="Times New Roman" w:hAnsi="Times New Roman"/>
          <w:i/>
          <w:sz w:val="24"/>
        </w:rPr>
        <w:t xml:space="preserve"> he ido a comisiones que se han tenido que anular porque somos tres personas”</w:t>
      </w:r>
      <w:r w:rsidR="00F77FFE" w:rsidRPr="00F77FFE">
        <w:rPr>
          <w:rFonts w:ascii="Times New Roman" w:hAnsi="Times New Roman"/>
          <w:sz w:val="24"/>
        </w:rPr>
        <w:t xml:space="preserve"> (EU).</w:t>
      </w:r>
    </w:p>
    <w:p w14:paraId="28ED7771" w14:textId="77777777" w:rsidR="00A85DF0" w:rsidRDefault="00A85DF0" w:rsidP="00855BDD">
      <w:pPr>
        <w:pStyle w:val="Numeracion"/>
        <w:numPr>
          <w:ilvl w:val="0"/>
          <w:numId w:val="0"/>
        </w:numPr>
        <w:rPr>
          <w:rFonts w:ascii="Times New Roman" w:hAnsi="Times New Roman"/>
          <w:b w:val="0"/>
          <w:color w:val="3366FF"/>
          <w:sz w:val="24"/>
        </w:rPr>
      </w:pPr>
    </w:p>
    <w:p w14:paraId="4C573815" w14:textId="7827C640" w:rsidR="00CC27AE" w:rsidRPr="00412A91" w:rsidRDefault="001B7310" w:rsidP="00855BDD">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24F133CD" w14:textId="7B2D5ECA" w:rsidR="00A85DF0" w:rsidRPr="00B3468F" w:rsidRDefault="00A85DF0" w:rsidP="00855BDD">
      <w:pPr>
        <w:ind w:firstLine="709"/>
        <w:rPr>
          <w:rFonts w:ascii="Times New Roman" w:hAnsi="Times New Roman"/>
          <w:sz w:val="24"/>
        </w:rPr>
      </w:pPr>
      <w:r w:rsidRPr="00A85DF0">
        <w:rPr>
          <w:rFonts w:ascii="Times New Roman" w:hAnsi="Times New Roman"/>
          <w:sz w:val="24"/>
        </w:rPr>
        <w:t xml:space="preserve">La finalidad principal de </w:t>
      </w:r>
      <w:r w:rsidR="00E956E0">
        <w:rPr>
          <w:rFonts w:ascii="Times New Roman" w:hAnsi="Times New Roman"/>
          <w:sz w:val="24"/>
        </w:rPr>
        <w:t>este estudio era</w:t>
      </w:r>
      <w:r w:rsidRPr="00A85DF0">
        <w:rPr>
          <w:rFonts w:ascii="Times New Roman" w:hAnsi="Times New Roman"/>
          <w:sz w:val="24"/>
        </w:rPr>
        <w:t xml:space="preserve"> analizar el modelo de guía docente que </w:t>
      </w:r>
      <w:r w:rsidR="00E956E0" w:rsidRPr="00B3468F">
        <w:rPr>
          <w:rFonts w:ascii="Times New Roman" w:hAnsi="Times New Roman"/>
          <w:sz w:val="24"/>
        </w:rPr>
        <w:t>actualmente se viene empleando e</w:t>
      </w:r>
      <w:r w:rsidRPr="00B3468F">
        <w:rPr>
          <w:rFonts w:ascii="Times New Roman" w:hAnsi="Times New Roman"/>
          <w:sz w:val="24"/>
        </w:rPr>
        <w:t>n la</w:t>
      </w:r>
      <w:r w:rsidR="00F12CE2">
        <w:rPr>
          <w:rFonts w:ascii="Times New Roman" w:hAnsi="Times New Roman"/>
          <w:sz w:val="24"/>
        </w:rPr>
        <w:t xml:space="preserve"> </w:t>
      </w:r>
      <w:r w:rsidR="006F00F2">
        <w:rPr>
          <w:rFonts w:ascii="Times New Roman" w:hAnsi="Times New Roman"/>
          <w:sz w:val="24"/>
        </w:rPr>
        <w:t>Universidad de La Laguna</w:t>
      </w:r>
      <w:r w:rsidRPr="00B3468F">
        <w:rPr>
          <w:rFonts w:ascii="Times New Roman" w:hAnsi="Times New Roman"/>
          <w:sz w:val="24"/>
        </w:rPr>
        <w:t>. Este proceso de revisión del modelo de guía docente no se puede aislar del contexto general en el que se desarrolla actualmente la enseñanza universitaria,</w:t>
      </w:r>
      <w:bookmarkStart w:id="0" w:name="_GoBack"/>
      <w:bookmarkEnd w:id="0"/>
      <w:r w:rsidRPr="00B3468F">
        <w:rPr>
          <w:rFonts w:ascii="Times New Roman" w:hAnsi="Times New Roman"/>
          <w:sz w:val="24"/>
        </w:rPr>
        <w:t xml:space="preserve"> donde se han producido cambios muy significativos en los últimos tiempos que, como señala Zabalza (2003), han venido a resaltar, aún más, algunas competencias del profesorado, como la planificación de la enseñanza. </w:t>
      </w:r>
      <w:r w:rsidR="00E956E0" w:rsidRPr="00B3468F">
        <w:rPr>
          <w:rFonts w:ascii="Times New Roman" w:hAnsi="Times New Roman"/>
          <w:sz w:val="24"/>
        </w:rPr>
        <w:t xml:space="preserve">Siguiendo a </w:t>
      </w:r>
      <w:r w:rsidRPr="00B3468F">
        <w:rPr>
          <w:rFonts w:ascii="Times New Roman" w:hAnsi="Times New Roman"/>
          <w:sz w:val="24"/>
        </w:rPr>
        <w:t>Yaniz (2006), planificar y utilizar de manera efectiva distintas estrategias para diseñar y desarrollar con éxito la enseñanza, es una de las competencias docentes más importantes para afrontar el reto de la Convergencia Europea.</w:t>
      </w:r>
    </w:p>
    <w:p w14:paraId="545CFC8A" w14:textId="3F44F92D" w:rsidR="00A85DF0" w:rsidRPr="00A85DF0" w:rsidRDefault="00A85DF0" w:rsidP="00855BDD">
      <w:pPr>
        <w:ind w:firstLine="709"/>
        <w:rPr>
          <w:rFonts w:ascii="Times New Roman" w:hAnsi="Times New Roman"/>
          <w:sz w:val="24"/>
        </w:rPr>
      </w:pPr>
      <w:r w:rsidRPr="00B3468F">
        <w:rPr>
          <w:rFonts w:ascii="Times New Roman" w:hAnsi="Times New Roman"/>
          <w:sz w:val="24"/>
        </w:rPr>
        <w:t xml:space="preserve">A pesar de este reconocimiento, el modelo formativo del </w:t>
      </w:r>
      <w:r w:rsidR="00E956E0" w:rsidRPr="00B3468F">
        <w:rPr>
          <w:rFonts w:ascii="Times New Roman" w:hAnsi="Times New Roman"/>
          <w:sz w:val="24"/>
        </w:rPr>
        <w:t xml:space="preserve">EEES </w:t>
      </w:r>
      <w:r w:rsidRPr="00B3468F">
        <w:rPr>
          <w:rFonts w:ascii="Times New Roman" w:hAnsi="Times New Roman"/>
          <w:sz w:val="24"/>
        </w:rPr>
        <w:t>ha impuesto</w:t>
      </w:r>
      <w:r w:rsidR="00E956E0" w:rsidRPr="00B3468F">
        <w:rPr>
          <w:rFonts w:ascii="Times New Roman" w:hAnsi="Times New Roman"/>
          <w:sz w:val="24"/>
        </w:rPr>
        <w:t xml:space="preserve">, como se desprende </w:t>
      </w:r>
      <w:r w:rsidR="006F00F2">
        <w:rPr>
          <w:rFonts w:ascii="Times New Roman" w:hAnsi="Times New Roman"/>
          <w:sz w:val="24"/>
        </w:rPr>
        <w:t>de los datos analizados</w:t>
      </w:r>
      <w:r w:rsidR="00E956E0" w:rsidRPr="00B3468F">
        <w:rPr>
          <w:rFonts w:ascii="Times New Roman" w:hAnsi="Times New Roman"/>
          <w:sz w:val="24"/>
        </w:rPr>
        <w:t>,</w:t>
      </w:r>
      <w:r w:rsidRPr="00B3468F">
        <w:rPr>
          <w:rFonts w:ascii="Times New Roman" w:hAnsi="Times New Roman"/>
          <w:sz w:val="24"/>
        </w:rPr>
        <w:t xml:space="preserve"> un diseño de la enseñanza bastante rígido y técnico, que restringe la capacidad del profesorado a la hora de planificar la enseñanza de las asignaturas. El modelo basado en el desarrollo de competencias (Yaniz y Villardón, 2006) determina una serie de decisiones que arrancan desde</w:t>
      </w:r>
      <w:r w:rsidR="008941B7">
        <w:rPr>
          <w:rFonts w:ascii="Times New Roman" w:hAnsi="Times New Roman"/>
          <w:sz w:val="24"/>
        </w:rPr>
        <w:t xml:space="preserve"> la memoria de verificación </w:t>
      </w:r>
      <w:r w:rsidRPr="00A85DF0">
        <w:rPr>
          <w:rFonts w:ascii="Times New Roman" w:hAnsi="Times New Roman"/>
          <w:sz w:val="24"/>
        </w:rPr>
        <w:t>de la titulación, que limitan la autonomía y la creatividad del profesorado</w:t>
      </w:r>
      <w:r w:rsidR="00E956E0">
        <w:rPr>
          <w:rFonts w:ascii="Times New Roman" w:hAnsi="Times New Roman"/>
          <w:sz w:val="24"/>
        </w:rPr>
        <w:t xml:space="preserve">. De esta manera, </w:t>
      </w:r>
      <w:r w:rsidRPr="00A85DF0">
        <w:rPr>
          <w:rFonts w:ascii="Times New Roman" w:hAnsi="Times New Roman"/>
          <w:sz w:val="24"/>
        </w:rPr>
        <w:t xml:space="preserve">lo que refleja el programa de la asignatura no </w:t>
      </w:r>
      <w:r w:rsidR="00E956E0" w:rsidRPr="00A85DF0">
        <w:rPr>
          <w:rFonts w:ascii="Times New Roman" w:hAnsi="Times New Roman"/>
          <w:sz w:val="24"/>
        </w:rPr>
        <w:t xml:space="preserve">siempre </w:t>
      </w:r>
      <w:r w:rsidRPr="00A85DF0">
        <w:rPr>
          <w:rFonts w:ascii="Times New Roman" w:hAnsi="Times New Roman"/>
          <w:sz w:val="24"/>
        </w:rPr>
        <w:t xml:space="preserve">se corresponde con la propuesta del docente, </w:t>
      </w:r>
      <w:r w:rsidR="00E956E0">
        <w:rPr>
          <w:rFonts w:ascii="Times New Roman" w:hAnsi="Times New Roman"/>
          <w:sz w:val="24"/>
        </w:rPr>
        <w:t>dado</w:t>
      </w:r>
      <w:r w:rsidRPr="00A85DF0">
        <w:rPr>
          <w:rFonts w:ascii="Times New Roman" w:hAnsi="Times New Roman"/>
          <w:sz w:val="24"/>
        </w:rPr>
        <w:t xml:space="preserve"> que gran parte de la planificación viene </w:t>
      </w:r>
      <w:r w:rsidR="00E956E0">
        <w:rPr>
          <w:rFonts w:ascii="Times New Roman" w:hAnsi="Times New Roman"/>
          <w:sz w:val="24"/>
        </w:rPr>
        <w:t>predeterminada</w:t>
      </w:r>
      <w:r w:rsidRPr="00A85DF0">
        <w:rPr>
          <w:rFonts w:ascii="Times New Roman" w:hAnsi="Times New Roman"/>
          <w:sz w:val="24"/>
        </w:rPr>
        <w:t>.</w:t>
      </w:r>
    </w:p>
    <w:p w14:paraId="0E511566" w14:textId="16627FF6" w:rsidR="00A85DF0" w:rsidRPr="00FB0642" w:rsidRDefault="00A85DF0" w:rsidP="00855BDD">
      <w:pPr>
        <w:ind w:firstLine="709"/>
        <w:rPr>
          <w:rFonts w:ascii="Times New Roman" w:hAnsi="Times New Roman"/>
          <w:sz w:val="24"/>
        </w:rPr>
      </w:pPr>
      <w:r w:rsidRPr="00B3468F">
        <w:rPr>
          <w:rFonts w:ascii="Times New Roman" w:hAnsi="Times New Roman"/>
          <w:sz w:val="24"/>
        </w:rPr>
        <w:t>Desde la aprobación del R</w:t>
      </w:r>
      <w:r w:rsidR="00E956E0" w:rsidRPr="00B3468F">
        <w:rPr>
          <w:rFonts w:ascii="Times New Roman" w:hAnsi="Times New Roman"/>
          <w:sz w:val="24"/>
        </w:rPr>
        <w:t>eal Decreto</w:t>
      </w:r>
      <w:r w:rsidR="002643A6">
        <w:rPr>
          <w:rFonts w:ascii="Times New Roman" w:hAnsi="Times New Roman"/>
          <w:sz w:val="24"/>
        </w:rPr>
        <w:t xml:space="preserve"> 1393/2007, que reguló en España </w:t>
      </w:r>
      <w:r w:rsidRPr="00B3468F">
        <w:rPr>
          <w:rFonts w:ascii="Times New Roman" w:hAnsi="Times New Roman"/>
          <w:sz w:val="24"/>
        </w:rPr>
        <w:t xml:space="preserve">la enseñanza universitaria en el marco del EEES y todos los que le han sucedido, se requería como una parte de la planificación de los planes de estudio universitarios, la descripción de los módulos o materias de enseñanza-aprendizaje que conformaban el plan de estudios (art. 5.2 del anexo I). Esto implicaba el diseño de las guías </w:t>
      </w:r>
      <w:r w:rsidRPr="00FB0642">
        <w:rPr>
          <w:rFonts w:ascii="Times New Roman" w:hAnsi="Times New Roman"/>
          <w:sz w:val="24"/>
        </w:rPr>
        <w:t>docentes de las asignaturas (García, 2008) y en la</w:t>
      </w:r>
      <w:r w:rsidR="00692D0A" w:rsidRPr="00FB0642">
        <w:rPr>
          <w:rFonts w:ascii="Times New Roman" w:hAnsi="Times New Roman"/>
          <w:sz w:val="24"/>
        </w:rPr>
        <w:t xml:space="preserve">s distintas instituciones universitarias </w:t>
      </w:r>
      <w:r w:rsidRPr="00FB0642">
        <w:rPr>
          <w:rFonts w:ascii="Times New Roman" w:hAnsi="Times New Roman"/>
          <w:sz w:val="24"/>
        </w:rPr>
        <w:t>se viene cumpliendo con este requisito</w:t>
      </w:r>
      <w:r w:rsidR="009067CF" w:rsidRPr="00FB0642">
        <w:rPr>
          <w:rFonts w:ascii="Times New Roman" w:hAnsi="Times New Roman"/>
          <w:sz w:val="24"/>
        </w:rPr>
        <w:t xml:space="preserve">, de modo que se aprobó </w:t>
      </w:r>
      <w:r w:rsidRPr="00FB0642">
        <w:rPr>
          <w:rFonts w:ascii="Times New Roman" w:hAnsi="Times New Roman"/>
          <w:sz w:val="24"/>
        </w:rPr>
        <w:t>un modelo de guía docente cercano al espíritu de la Convergencia, común para todas las titulaciones</w:t>
      </w:r>
      <w:r w:rsidR="00692D0A" w:rsidRPr="00FB0642">
        <w:rPr>
          <w:rFonts w:ascii="Times New Roman" w:hAnsi="Times New Roman"/>
          <w:sz w:val="24"/>
        </w:rPr>
        <w:t>.</w:t>
      </w:r>
    </w:p>
    <w:p w14:paraId="57AEA6AC" w14:textId="72D57206" w:rsidR="00A85DF0" w:rsidRPr="006F00F2" w:rsidRDefault="00A85DF0" w:rsidP="00855BDD">
      <w:pPr>
        <w:ind w:firstLine="709"/>
        <w:rPr>
          <w:rFonts w:ascii="Times New Roman" w:hAnsi="Times New Roman"/>
          <w:sz w:val="24"/>
        </w:rPr>
      </w:pPr>
      <w:r w:rsidRPr="00FB0642">
        <w:rPr>
          <w:rFonts w:ascii="Times New Roman" w:hAnsi="Times New Roman"/>
          <w:sz w:val="24"/>
        </w:rPr>
        <w:t xml:space="preserve">Desde </w:t>
      </w:r>
      <w:r w:rsidR="00692D0A" w:rsidRPr="00FB0642">
        <w:rPr>
          <w:rFonts w:ascii="Times New Roman" w:hAnsi="Times New Roman"/>
          <w:sz w:val="24"/>
        </w:rPr>
        <w:t>un enfoque</w:t>
      </w:r>
      <w:r w:rsidRPr="00FB0642">
        <w:rPr>
          <w:rFonts w:ascii="Times New Roman" w:hAnsi="Times New Roman"/>
          <w:sz w:val="24"/>
        </w:rPr>
        <w:t xml:space="preserve"> institucional, el modelo cumple con los requisitos administrativos. Desde la perspectiva académica, se vienen planteando en los últimos tiempos algunas discrepancias sobre la utilidad de la guía docente para el alumnado y</w:t>
      </w:r>
      <w:r w:rsidR="00692D0A" w:rsidRPr="00FB0642">
        <w:rPr>
          <w:rFonts w:ascii="Times New Roman" w:hAnsi="Times New Roman"/>
          <w:sz w:val="24"/>
        </w:rPr>
        <w:t xml:space="preserve">, </w:t>
      </w:r>
      <w:r w:rsidRPr="00FB0642">
        <w:rPr>
          <w:rFonts w:ascii="Times New Roman" w:hAnsi="Times New Roman"/>
          <w:sz w:val="24"/>
        </w:rPr>
        <w:t xml:space="preserve">sobre todo, se viene cuestionando si </w:t>
      </w:r>
      <w:r w:rsidR="00692D0A" w:rsidRPr="00FB0642">
        <w:rPr>
          <w:rFonts w:ascii="Times New Roman" w:hAnsi="Times New Roman"/>
          <w:sz w:val="24"/>
        </w:rPr>
        <w:t xml:space="preserve">se trata de un recurso que verdaderamente </w:t>
      </w:r>
      <w:r w:rsidR="00A539B8" w:rsidRPr="00FB0642">
        <w:rPr>
          <w:rFonts w:ascii="Times New Roman" w:hAnsi="Times New Roman"/>
          <w:sz w:val="24"/>
        </w:rPr>
        <w:t>guíe</w:t>
      </w:r>
      <w:r w:rsidR="00692D0A" w:rsidRPr="00FB0642">
        <w:rPr>
          <w:rFonts w:ascii="Times New Roman" w:hAnsi="Times New Roman"/>
          <w:sz w:val="24"/>
        </w:rPr>
        <w:t xml:space="preserve"> y </w:t>
      </w:r>
      <w:r w:rsidR="00692D0A" w:rsidRPr="00FB0642">
        <w:rPr>
          <w:rFonts w:ascii="Times New Roman" w:hAnsi="Times New Roman"/>
          <w:sz w:val="24"/>
        </w:rPr>
        <w:lastRenderedPageBreak/>
        <w:t xml:space="preserve">oriente la práctica educativa. </w:t>
      </w:r>
      <w:r w:rsidRPr="00FB0642">
        <w:rPr>
          <w:rFonts w:ascii="Times New Roman" w:hAnsi="Times New Roman"/>
          <w:sz w:val="24"/>
        </w:rPr>
        <w:t xml:space="preserve">Precisamente en el modelo del EEES, el estudiante es el principal protagonista de la enseñanza y la guía docente tiene que tener en cuenta </w:t>
      </w:r>
      <w:r w:rsidRPr="006F00F2">
        <w:rPr>
          <w:rFonts w:ascii="Times New Roman" w:hAnsi="Times New Roman"/>
          <w:sz w:val="24"/>
        </w:rPr>
        <w:t xml:space="preserve">este </w:t>
      </w:r>
      <w:r w:rsidR="00692D0A" w:rsidRPr="006F00F2">
        <w:rPr>
          <w:rFonts w:ascii="Times New Roman" w:hAnsi="Times New Roman"/>
          <w:sz w:val="24"/>
        </w:rPr>
        <w:t>requisito</w:t>
      </w:r>
      <w:r w:rsidRPr="006F00F2">
        <w:rPr>
          <w:rFonts w:ascii="Times New Roman" w:hAnsi="Times New Roman"/>
          <w:sz w:val="24"/>
        </w:rPr>
        <w:t xml:space="preserve">. </w:t>
      </w:r>
      <w:r w:rsidR="00004D67">
        <w:rPr>
          <w:rFonts w:ascii="Times New Roman" w:hAnsi="Times New Roman"/>
          <w:sz w:val="24"/>
        </w:rPr>
        <w:t xml:space="preserve">Pensamos como </w:t>
      </w:r>
      <w:r w:rsidRPr="006F00F2">
        <w:rPr>
          <w:rFonts w:ascii="Times New Roman" w:hAnsi="Times New Roman"/>
          <w:sz w:val="24"/>
        </w:rPr>
        <w:t xml:space="preserve">Bozu y Cantó (2009), </w:t>
      </w:r>
      <w:r w:rsidR="00004D67">
        <w:rPr>
          <w:rFonts w:ascii="Times New Roman" w:hAnsi="Times New Roman"/>
          <w:sz w:val="24"/>
        </w:rPr>
        <w:t xml:space="preserve">que </w:t>
      </w:r>
      <w:r w:rsidRPr="006F00F2">
        <w:rPr>
          <w:rFonts w:ascii="Times New Roman" w:hAnsi="Times New Roman"/>
          <w:sz w:val="24"/>
        </w:rPr>
        <w:t xml:space="preserve">la guía docente tiene que estar diseñada y pensada para que el alumnado sea el protagonista del aprendizaje. El estudiante es quien aprende y durante ese proceso, necesita orientación, referencias, pautas, etc. Esa es una función importante que debería desempeñar la guía docente: servir de referencia al alumnado durante el tiempo que dura una asignatura, de lo que debe aprender y de cómo se va a trabajar para conseguirlo. </w:t>
      </w:r>
      <w:r w:rsidR="00AE0BF3">
        <w:rPr>
          <w:rFonts w:ascii="Times New Roman" w:hAnsi="Times New Roman"/>
          <w:sz w:val="24"/>
        </w:rPr>
        <w:t>En este sentido compartimos con López</w:t>
      </w:r>
      <w:r w:rsidR="00AE0BF3" w:rsidRPr="00AE0BF3">
        <w:rPr>
          <w:rFonts w:ascii="Times New Roman" w:hAnsi="Times New Roman"/>
          <w:sz w:val="24"/>
        </w:rPr>
        <w:t xml:space="preserve"> y Crisol (2012)</w:t>
      </w:r>
      <w:r w:rsidR="00AE0BF3">
        <w:rPr>
          <w:rFonts w:ascii="Times New Roman" w:hAnsi="Times New Roman"/>
          <w:sz w:val="24"/>
        </w:rPr>
        <w:t xml:space="preserve"> y</w:t>
      </w:r>
      <w:r w:rsidR="00AE0BF3" w:rsidRPr="00AE0BF3">
        <w:rPr>
          <w:rFonts w:ascii="Times New Roman" w:hAnsi="Times New Roman"/>
          <w:sz w:val="24"/>
        </w:rPr>
        <w:t xml:space="preserve"> García y De la Cruz</w:t>
      </w:r>
      <w:r w:rsidR="00AE0BF3">
        <w:rPr>
          <w:rFonts w:ascii="Times New Roman" w:hAnsi="Times New Roman"/>
          <w:sz w:val="24"/>
        </w:rPr>
        <w:t xml:space="preserve"> </w:t>
      </w:r>
      <w:r w:rsidR="00AE0BF3" w:rsidRPr="00AE0BF3">
        <w:rPr>
          <w:rFonts w:ascii="Times New Roman" w:hAnsi="Times New Roman"/>
          <w:sz w:val="24"/>
        </w:rPr>
        <w:t>(2014)</w:t>
      </w:r>
      <w:r w:rsidR="00AE0BF3">
        <w:rPr>
          <w:rFonts w:ascii="Times New Roman" w:hAnsi="Times New Roman"/>
          <w:sz w:val="24"/>
        </w:rPr>
        <w:t xml:space="preserve"> la idea de que la guía docente ha de facilitar el trabajo independiente y el desarrollo de la actividad cognoscitiva en el alumnado.</w:t>
      </w:r>
    </w:p>
    <w:p w14:paraId="623CEC4C" w14:textId="19D6243D" w:rsidR="00A85DF0" w:rsidRPr="006F00F2" w:rsidRDefault="00A85DF0" w:rsidP="00855BDD">
      <w:pPr>
        <w:ind w:firstLine="709"/>
        <w:rPr>
          <w:rFonts w:ascii="Times New Roman" w:hAnsi="Times New Roman"/>
          <w:sz w:val="24"/>
        </w:rPr>
      </w:pPr>
      <w:r w:rsidRPr="006F00F2">
        <w:rPr>
          <w:rFonts w:ascii="Times New Roman" w:hAnsi="Times New Roman"/>
          <w:sz w:val="24"/>
        </w:rPr>
        <w:t>A partir de los resultados obtenidos, se pone de manifiesto que la guía docente es un instrumento básico en el modelo actual de la enseñanza universitaria, especialmente valorado y utilizado en los procesos de verificación de las distintas titulaciones. Un criterio fundamental que emplea la ANECA en la acreditación y evaluación de las titulaciones es la adecuación de las guías docentes, tanto en lo que respecta a su diseño, como a su puesta en práctica. De ahí el esfuerzo que se viene realizando en el conjunto</w:t>
      </w:r>
      <w:r w:rsidRPr="00A85DF0">
        <w:rPr>
          <w:rFonts w:ascii="Times New Roman" w:hAnsi="Times New Roman"/>
          <w:sz w:val="24"/>
        </w:rPr>
        <w:t xml:space="preserve"> </w:t>
      </w:r>
      <w:r w:rsidRPr="006F00F2">
        <w:rPr>
          <w:rFonts w:ascii="Times New Roman" w:hAnsi="Times New Roman"/>
          <w:sz w:val="24"/>
        </w:rPr>
        <w:t>de las universidades españolas</w:t>
      </w:r>
      <w:r w:rsidR="009067CF" w:rsidRPr="006F00F2">
        <w:rPr>
          <w:rFonts w:ascii="Times New Roman" w:hAnsi="Times New Roman"/>
          <w:sz w:val="24"/>
        </w:rPr>
        <w:t>,</w:t>
      </w:r>
      <w:r w:rsidR="006F00F2" w:rsidRPr="006F00F2">
        <w:rPr>
          <w:rFonts w:ascii="Times New Roman" w:hAnsi="Times New Roman"/>
          <w:sz w:val="24"/>
        </w:rPr>
        <w:t xml:space="preserve"> </w:t>
      </w:r>
      <w:r w:rsidRPr="006F00F2">
        <w:rPr>
          <w:rFonts w:ascii="Times New Roman" w:hAnsi="Times New Roman"/>
          <w:sz w:val="24"/>
        </w:rPr>
        <w:t>para que las guías docentes cumplan con los requisitos y se consiga la acreditación y certificación de las titulaciones.</w:t>
      </w:r>
    </w:p>
    <w:p w14:paraId="56421B51" w14:textId="7723C714" w:rsidR="00A85DF0" w:rsidRPr="006F00F2" w:rsidRDefault="00A85DF0" w:rsidP="00855BDD">
      <w:pPr>
        <w:ind w:firstLine="709"/>
        <w:rPr>
          <w:rFonts w:ascii="Times New Roman" w:hAnsi="Times New Roman"/>
          <w:sz w:val="24"/>
        </w:rPr>
      </w:pPr>
      <w:r w:rsidRPr="006F00F2">
        <w:rPr>
          <w:rFonts w:ascii="Times New Roman" w:hAnsi="Times New Roman"/>
          <w:sz w:val="24"/>
        </w:rPr>
        <w:t xml:space="preserve">Sin embargo, a través del estudio se refleja también la escasa incidencia que las guías docentes tienen sobre el proceso formativo. Como </w:t>
      </w:r>
      <w:r w:rsidR="00692D0A" w:rsidRPr="006F00F2">
        <w:rPr>
          <w:rFonts w:ascii="Times New Roman" w:hAnsi="Times New Roman"/>
          <w:sz w:val="24"/>
        </w:rPr>
        <w:t>se ha comprobado</w:t>
      </w:r>
      <w:r w:rsidRPr="006F00F2">
        <w:rPr>
          <w:rFonts w:ascii="Times New Roman" w:hAnsi="Times New Roman"/>
          <w:sz w:val="24"/>
        </w:rPr>
        <w:t>, el uso de la guía docente queda limitado, fundamentalmente, al primer día de clase, cuando se informa al alumnado de los elementos centrales de la asignatura. Pero no se percibe que sea un recurso que esté presente de manera permanente a lo largo del curso, alimentando</w:t>
      </w:r>
      <w:r w:rsidR="00692D0A" w:rsidRPr="006F00F2">
        <w:rPr>
          <w:rFonts w:ascii="Times New Roman" w:hAnsi="Times New Roman"/>
          <w:sz w:val="24"/>
        </w:rPr>
        <w:t xml:space="preserve"> y</w:t>
      </w:r>
      <w:r w:rsidRPr="006F00F2">
        <w:rPr>
          <w:rFonts w:ascii="Times New Roman" w:hAnsi="Times New Roman"/>
          <w:sz w:val="24"/>
        </w:rPr>
        <w:t xml:space="preserve"> guiando el proceso de enseñanza-aprendizaje del alumnado. De ahí que se pueda concluir resaltando que la guía docente tiene más importancia como documento administrativo, que como recurso pedagógico y didáctico. Es decir, la guía docente no realiza realmente la función de “guía” del proceso formativo.</w:t>
      </w:r>
    </w:p>
    <w:p w14:paraId="54EB45BF" w14:textId="49EB15F5" w:rsidR="00A85DF0" w:rsidRPr="006F00F2" w:rsidRDefault="00A85DF0" w:rsidP="00855BDD">
      <w:pPr>
        <w:ind w:firstLine="709"/>
        <w:rPr>
          <w:rFonts w:ascii="Times New Roman" w:hAnsi="Times New Roman"/>
          <w:sz w:val="24"/>
        </w:rPr>
      </w:pPr>
      <w:r w:rsidRPr="006F00F2">
        <w:rPr>
          <w:rFonts w:ascii="Times New Roman" w:hAnsi="Times New Roman"/>
          <w:sz w:val="24"/>
        </w:rPr>
        <w:t xml:space="preserve">A ello puede contribuir la falta de identificación del profesorado con la guía docente, que en muchos casos le llega como un documento elaborado por otras personas, derivado técnicamente de la memoria del título que </w:t>
      </w:r>
      <w:r w:rsidR="009067CF" w:rsidRPr="006F00F2">
        <w:rPr>
          <w:rFonts w:ascii="Times New Roman" w:hAnsi="Times New Roman"/>
          <w:sz w:val="24"/>
        </w:rPr>
        <w:t>diseñó</w:t>
      </w:r>
      <w:r w:rsidRPr="006F00F2">
        <w:rPr>
          <w:rFonts w:ascii="Times New Roman" w:hAnsi="Times New Roman"/>
          <w:sz w:val="24"/>
        </w:rPr>
        <w:t xml:space="preserve"> una o varias comisiones años atrás y con una orientación de la materia que para nada se ajusta a su modelo docente. Esta realidad puede ayudar a entender que, en</w:t>
      </w:r>
      <w:r w:rsidR="009067CF" w:rsidRPr="006F00F2">
        <w:rPr>
          <w:rFonts w:ascii="Times New Roman" w:hAnsi="Times New Roman"/>
          <w:sz w:val="24"/>
        </w:rPr>
        <w:t xml:space="preserve"> muchos casos, la guía docente </w:t>
      </w:r>
      <w:r w:rsidRPr="006F00F2">
        <w:rPr>
          <w:rFonts w:ascii="Times New Roman" w:hAnsi="Times New Roman"/>
          <w:sz w:val="24"/>
        </w:rPr>
        <w:t>e</w:t>
      </w:r>
      <w:r w:rsidR="009067CF" w:rsidRPr="006F00F2">
        <w:rPr>
          <w:rFonts w:ascii="Times New Roman" w:hAnsi="Times New Roman"/>
          <w:sz w:val="24"/>
        </w:rPr>
        <w:t>s</w:t>
      </w:r>
      <w:r w:rsidRPr="006F00F2">
        <w:rPr>
          <w:rFonts w:ascii="Times New Roman" w:hAnsi="Times New Roman"/>
          <w:sz w:val="24"/>
        </w:rPr>
        <w:t xml:space="preserve"> simplemente un documento administrativo, que el profesorado entrega porque es de obligado cumplimiento, pero que no ofrece su propuesta adaptada a la realidad de la asignatura y a los procedimientos de aprendizaje que como docente considera más adecuados para los estudiantes que tiene a su cargo. En este sentido, </w:t>
      </w:r>
      <w:r w:rsidR="00004D67">
        <w:rPr>
          <w:rFonts w:ascii="Times New Roman" w:hAnsi="Times New Roman"/>
          <w:sz w:val="24"/>
        </w:rPr>
        <w:t xml:space="preserve">es necesario </w:t>
      </w:r>
      <w:r w:rsidRPr="006F00F2">
        <w:rPr>
          <w:rFonts w:ascii="Times New Roman" w:hAnsi="Times New Roman"/>
          <w:sz w:val="24"/>
        </w:rPr>
        <w:t>que sean las áreas de conocimientos y los Departamentos quienes asuman la revisión más profunda y detenida de los programas y de los contenidos que se imparten en las asignaturas.</w:t>
      </w:r>
      <w:r w:rsidR="00004D67">
        <w:rPr>
          <w:rFonts w:ascii="Times New Roman" w:hAnsi="Times New Roman"/>
          <w:sz w:val="24"/>
        </w:rPr>
        <w:t xml:space="preserve"> </w:t>
      </w:r>
      <w:r w:rsidR="00996AD5" w:rsidRPr="006F00F2">
        <w:rPr>
          <w:rFonts w:ascii="Times New Roman" w:hAnsi="Times New Roman"/>
          <w:sz w:val="24"/>
        </w:rPr>
        <w:t xml:space="preserve">Se debe tener </w:t>
      </w:r>
      <w:r w:rsidRPr="006F00F2">
        <w:rPr>
          <w:rFonts w:ascii="Times New Roman" w:hAnsi="Times New Roman"/>
          <w:sz w:val="24"/>
        </w:rPr>
        <w:t xml:space="preserve">presente que las asignaturas no son propiedad de un profesor, sino que corresponde al área determinar qué contenidos se deben trabajar en la misma, con independencia del docente que se encargue de desarrollarla. Esto sigue siendo un problema que no se ha logrado resolver, </w:t>
      </w:r>
      <w:r w:rsidR="00004D67">
        <w:rPr>
          <w:rFonts w:ascii="Times New Roman" w:hAnsi="Times New Roman"/>
          <w:sz w:val="24"/>
        </w:rPr>
        <w:t xml:space="preserve">dado </w:t>
      </w:r>
      <w:r w:rsidRPr="006F00F2">
        <w:rPr>
          <w:rFonts w:ascii="Times New Roman" w:hAnsi="Times New Roman"/>
          <w:sz w:val="24"/>
        </w:rPr>
        <w:t>que</w:t>
      </w:r>
      <w:r w:rsidR="00004D67">
        <w:rPr>
          <w:rFonts w:ascii="Times New Roman" w:hAnsi="Times New Roman"/>
          <w:sz w:val="24"/>
        </w:rPr>
        <w:t>,</w:t>
      </w:r>
      <w:r w:rsidRPr="006F00F2">
        <w:rPr>
          <w:rFonts w:ascii="Times New Roman" w:hAnsi="Times New Roman"/>
          <w:sz w:val="24"/>
        </w:rPr>
        <w:t xml:space="preserve"> por un lado se aprueba la guía docente y</w:t>
      </w:r>
      <w:r w:rsidR="00004D67">
        <w:rPr>
          <w:rFonts w:ascii="Times New Roman" w:hAnsi="Times New Roman"/>
          <w:sz w:val="24"/>
        </w:rPr>
        <w:t>,</w:t>
      </w:r>
      <w:r w:rsidRPr="006F00F2">
        <w:rPr>
          <w:rFonts w:ascii="Times New Roman" w:hAnsi="Times New Roman"/>
          <w:sz w:val="24"/>
        </w:rPr>
        <w:t xml:space="preserve"> por otro lado</w:t>
      </w:r>
      <w:r w:rsidR="00004D67">
        <w:rPr>
          <w:rFonts w:ascii="Times New Roman" w:hAnsi="Times New Roman"/>
          <w:sz w:val="24"/>
        </w:rPr>
        <w:t>,</w:t>
      </w:r>
      <w:r w:rsidRPr="006F00F2">
        <w:rPr>
          <w:rFonts w:ascii="Times New Roman" w:hAnsi="Times New Roman"/>
          <w:sz w:val="24"/>
        </w:rPr>
        <w:t xml:space="preserve"> el profesor</w:t>
      </w:r>
      <w:r w:rsidR="00004D67">
        <w:rPr>
          <w:rFonts w:ascii="Times New Roman" w:hAnsi="Times New Roman"/>
          <w:sz w:val="24"/>
        </w:rPr>
        <w:t>ado</w:t>
      </w:r>
      <w:r w:rsidRPr="006F00F2">
        <w:rPr>
          <w:rFonts w:ascii="Times New Roman" w:hAnsi="Times New Roman"/>
          <w:sz w:val="24"/>
        </w:rPr>
        <w:t xml:space="preserve"> desarrolla su versión particular de la asignatura. A este proceso se le debería dedicar mayor atención cada año, llevando a cabo una verdadera revisión de los programas y abriendo espacios para un debate en profundidad  sobre los contenidos que se deberían abordar según el área. Las propuestas que surjan de este análisis deberían trasladarse a l</w:t>
      </w:r>
      <w:r w:rsidR="00406B31">
        <w:rPr>
          <w:rFonts w:ascii="Times New Roman" w:hAnsi="Times New Roman"/>
          <w:sz w:val="24"/>
        </w:rPr>
        <w:t>a memoria de verificación</w:t>
      </w:r>
      <w:r w:rsidRPr="006F00F2">
        <w:rPr>
          <w:rFonts w:ascii="Times New Roman" w:hAnsi="Times New Roman"/>
          <w:sz w:val="24"/>
        </w:rPr>
        <w:t>, mediante los modifica correspondientes.</w:t>
      </w:r>
    </w:p>
    <w:p w14:paraId="60DF8E7F" w14:textId="09D1C54E" w:rsidR="00A85DF0" w:rsidRPr="00FB0642" w:rsidRDefault="009067CF" w:rsidP="00855BDD">
      <w:pPr>
        <w:ind w:firstLine="709"/>
        <w:rPr>
          <w:rFonts w:ascii="Times New Roman" w:hAnsi="Times New Roman"/>
          <w:sz w:val="24"/>
        </w:rPr>
      </w:pPr>
      <w:r w:rsidRPr="006F00F2">
        <w:rPr>
          <w:rFonts w:ascii="Times New Roman" w:hAnsi="Times New Roman"/>
          <w:sz w:val="24"/>
        </w:rPr>
        <w:lastRenderedPageBreak/>
        <w:t xml:space="preserve">Resultó </w:t>
      </w:r>
      <w:r w:rsidR="00004D67" w:rsidRPr="006F00F2">
        <w:rPr>
          <w:rFonts w:ascii="Times New Roman" w:hAnsi="Times New Roman"/>
          <w:sz w:val="24"/>
        </w:rPr>
        <w:t>significativa</w:t>
      </w:r>
      <w:r w:rsidR="00004D67">
        <w:rPr>
          <w:rFonts w:ascii="Times New Roman" w:hAnsi="Times New Roman"/>
          <w:sz w:val="24"/>
        </w:rPr>
        <w:t xml:space="preserve"> </w:t>
      </w:r>
      <w:r w:rsidR="00A85DF0" w:rsidRPr="006F00F2">
        <w:rPr>
          <w:rFonts w:ascii="Times New Roman" w:hAnsi="Times New Roman"/>
          <w:sz w:val="24"/>
        </w:rPr>
        <w:t>la p</w:t>
      </w:r>
      <w:r w:rsidR="001D67FB" w:rsidRPr="006F00F2">
        <w:rPr>
          <w:rFonts w:ascii="Times New Roman" w:hAnsi="Times New Roman"/>
          <w:sz w:val="24"/>
        </w:rPr>
        <w:t xml:space="preserve">ercepción </w:t>
      </w:r>
      <w:r w:rsidR="00004D67" w:rsidRPr="006F00F2">
        <w:rPr>
          <w:rFonts w:ascii="Times New Roman" w:hAnsi="Times New Roman"/>
          <w:sz w:val="24"/>
        </w:rPr>
        <w:t xml:space="preserve">sobre las guías docentes </w:t>
      </w:r>
      <w:r w:rsidR="001D67FB" w:rsidRPr="006F00F2">
        <w:rPr>
          <w:rFonts w:ascii="Times New Roman" w:hAnsi="Times New Roman"/>
          <w:sz w:val="24"/>
        </w:rPr>
        <w:t xml:space="preserve">que </w:t>
      </w:r>
      <w:r w:rsidR="00F12CE2" w:rsidRPr="006F00F2">
        <w:rPr>
          <w:rFonts w:ascii="Times New Roman" w:hAnsi="Times New Roman"/>
          <w:sz w:val="24"/>
        </w:rPr>
        <w:t>tuvo el estudiante que participó en el estudio</w:t>
      </w:r>
      <w:r w:rsidR="00A85DF0" w:rsidRPr="006F00F2">
        <w:rPr>
          <w:rFonts w:ascii="Times New Roman" w:hAnsi="Times New Roman"/>
          <w:sz w:val="24"/>
        </w:rPr>
        <w:t xml:space="preserve">, </w:t>
      </w:r>
      <w:r w:rsidR="00004D67">
        <w:rPr>
          <w:rFonts w:ascii="Times New Roman" w:hAnsi="Times New Roman"/>
          <w:sz w:val="24"/>
        </w:rPr>
        <w:t xml:space="preserve">considerándolas </w:t>
      </w:r>
      <w:r w:rsidR="00A85DF0" w:rsidRPr="006F00F2">
        <w:rPr>
          <w:rFonts w:ascii="Times New Roman" w:hAnsi="Times New Roman"/>
          <w:sz w:val="24"/>
        </w:rPr>
        <w:t>como una herramienta de escaso valor. Solo destacó su utilidad para encontrar información sobre aspectos muy específicos, como el nombre del profesado, los horarios, el sistema de evaluación, etc. y que</w:t>
      </w:r>
      <w:r w:rsidR="00004D67">
        <w:rPr>
          <w:rFonts w:ascii="Times New Roman" w:hAnsi="Times New Roman"/>
          <w:sz w:val="24"/>
        </w:rPr>
        <w:t xml:space="preserve"> se</w:t>
      </w:r>
      <w:r w:rsidR="00A85DF0" w:rsidRPr="006F00F2">
        <w:rPr>
          <w:rFonts w:ascii="Times New Roman" w:hAnsi="Times New Roman"/>
          <w:sz w:val="24"/>
        </w:rPr>
        <w:t xml:space="preserve"> emplea en </w:t>
      </w:r>
      <w:r w:rsidR="00A85DF0" w:rsidRPr="00FB0642">
        <w:rPr>
          <w:rFonts w:ascii="Times New Roman" w:hAnsi="Times New Roman"/>
          <w:sz w:val="24"/>
        </w:rPr>
        <w:t xml:space="preserve">momentos concretos, como al elegir asignaturas o turnos. </w:t>
      </w:r>
    </w:p>
    <w:p w14:paraId="7B6A7D5E" w14:textId="49F64920" w:rsidR="00A85DF0" w:rsidRPr="00FB0642" w:rsidRDefault="00FB0642" w:rsidP="00FB0642">
      <w:pPr>
        <w:ind w:firstLine="708"/>
        <w:rPr>
          <w:rFonts w:ascii="Times New Roman" w:hAnsi="Times New Roman"/>
          <w:sz w:val="24"/>
        </w:rPr>
      </w:pPr>
      <w:r w:rsidRPr="00FB0642">
        <w:rPr>
          <w:rFonts w:ascii="Times New Roman" w:hAnsi="Times New Roman"/>
          <w:sz w:val="24"/>
        </w:rPr>
        <w:t xml:space="preserve">Con relación al </w:t>
      </w:r>
      <w:r w:rsidR="00A85DF0" w:rsidRPr="00FB0642">
        <w:rPr>
          <w:rFonts w:ascii="Times New Roman" w:hAnsi="Times New Roman"/>
          <w:sz w:val="24"/>
        </w:rPr>
        <w:t>desajuste entre lo planificado en la guía docente y el proceso real de la enseñanza en el aula</w:t>
      </w:r>
      <w:r w:rsidR="00A85DF0" w:rsidRPr="006F00F2">
        <w:rPr>
          <w:rFonts w:ascii="Times New Roman" w:hAnsi="Times New Roman"/>
          <w:sz w:val="24"/>
        </w:rPr>
        <w:t xml:space="preserve">, </w:t>
      </w:r>
      <w:r w:rsidR="008C280A">
        <w:rPr>
          <w:rFonts w:ascii="Times New Roman" w:hAnsi="Times New Roman"/>
          <w:sz w:val="24"/>
        </w:rPr>
        <w:t xml:space="preserve">resaltar las dificultades apuntadas por </w:t>
      </w:r>
      <w:r w:rsidR="00A85DF0" w:rsidRPr="006F00F2">
        <w:rPr>
          <w:rFonts w:ascii="Times New Roman" w:hAnsi="Times New Roman"/>
          <w:sz w:val="24"/>
        </w:rPr>
        <w:t xml:space="preserve">el profesorado </w:t>
      </w:r>
      <w:r w:rsidR="008C280A">
        <w:rPr>
          <w:rFonts w:ascii="Times New Roman" w:hAnsi="Times New Roman"/>
          <w:sz w:val="24"/>
        </w:rPr>
        <w:t xml:space="preserve">a la hora de </w:t>
      </w:r>
      <w:r w:rsidR="00A85DF0" w:rsidRPr="006F00F2">
        <w:rPr>
          <w:rFonts w:ascii="Times New Roman" w:hAnsi="Times New Roman"/>
          <w:sz w:val="24"/>
        </w:rPr>
        <w:t xml:space="preserve">planificar algunos apartados de la guía docente. El cronograma, la metodología o sistema de evaluación es difícil concretarlos </w:t>
      </w:r>
      <w:r w:rsidR="00271536" w:rsidRPr="006F00F2">
        <w:rPr>
          <w:rFonts w:ascii="Times New Roman" w:hAnsi="Times New Roman"/>
          <w:sz w:val="24"/>
        </w:rPr>
        <w:t xml:space="preserve">con </w:t>
      </w:r>
      <w:r w:rsidR="008C280A">
        <w:rPr>
          <w:rFonts w:ascii="Times New Roman" w:hAnsi="Times New Roman"/>
          <w:sz w:val="24"/>
        </w:rPr>
        <w:t xml:space="preserve">tanta </w:t>
      </w:r>
      <w:r w:rsidR="00271536" w:rsidRPr="006F00F2">
        <w:rPr>
          <w:rFonts w:ascii="Times New Roman" w:hAnsi="Times New Roman"/>
          <w:sz w:val="24"/>
        </w:rPr>
        <w:t>antelación</w:t>
      </w:r>
      <w:r w:rsidR="00A85DF0" w:rsidRPr="006F00F2">
        <w:rPr>
          <w:rFonts w:ascii="Times New Roman" w:hAnsi="Times New Roman"/>
          <w:sz w:val="24"/>
        </w:rPr>
        <w:t>, sin conocer el número de estudiantes, las características del</w:t>
      </w:r>
      <w:r w:rsidR="00271536" w:rsidRPr="006F00F2">
        <w:rPr>
          <w:rFonts w:ascii="Times New Roman" w:hAnsi="Times New Roman"/>
          <w:sz w:val="24"/>
        </w:rPr>
        <w:t xml:space="preserve"> grupo, etc</w:t>
      </w:r>
      <w:r w:rsidR="00A85DF0" w:rsidRPr="006F00F2">
        <w:rPr>
          <w:rFonts w:ascii="Times New Roman" w:hAnsi="Times New Roman"/>
          <w:sz w:val="24"/>
        </w:rPr>
        <w:t>. En es</w:t>
      </w:r>
      <w:r w:rsidR="00271536" w:rsidRPr="006F00F2">
        <w:rPr>
          <w:rFonts w:ascii="Times New Roman" w:hAnsi="Times New Roman"/>
          <w:sz w:val="24"/>
        </w:rPr>
        <w:t>t</w:t>
      </w:r>
      <w:r w:rsidR="00A85DF0" w:rsidRPr="006F00F2">
        <w:rPr>
          <w:rFonts w:ascii="Times New Roman" w:hAnsi="Times New Roman"/>
          <w:sz w:val="24"/>
        </w:rPr>
        <w:t xml:space="preserve">e sentido, apartados de la guía como el cronograma se </w:t>
      </w:r>
      <w:r w:rsidR="00307DC5" w:rsidRPr="006F00F2">
        <w:rPr>
          <w:rFonts w:ascii="Times New Roman" w:hAnsi="Times New Roman"/>
          <w:sz w:val="24"/>
        </w:rPr>
        <w:t>considera</w:t>
      </w:r>
      <w:r w:rsidR="00A85DF0" w:rsidRPr="006F00F2">
        <w:rPr>
          <w:rFonts w:ascii="Times New Roman" w:hAnsi="Times New Roman"/>
          <w:sz w:val="24"/>
        </w:rPr>
        <w:t xml:space="preserve"> </w:t>
      </w:r>
      <w:r w:rsidR="00307DC5">
        <w:rPr>
          <w:rFonts w:ascii="Times New Roman" w:hAnsi="Times New Roman"/>
          <w:sz w:val="24"/>
        </w:rPr>
        <w:t>un elemento</w:t>
      </w:r>
      <w:r w:rsidR="00A85DF0" w:rsidRPr="006F00F2">
        <w:rPr>
          <w:rFonts w:ascii="Times New Roman" w:hAnsi="Times New Roman"/>
          <w:sz w:val="24"/>
        </w:rPr>
        <w:t xml:space="preserve"> poco relevante y que se debería eliminar</w:t>
      </w:r>
      <w:r w:rsidR="00004D67">
        <w:rPr>
          <w:rFonts w:ascii="Times New Roman" w:hAnsi="Times New Roman"/>
          <w:sz w:val="24"/>
        </w:rPr>
        <w:t xml:space="preserve"> (es difícil prever con tanta antelación</w:t>
      </w:r>
      <w:r w:rsidR="008C280A">
        <w:rPr>
          <w:rFonts w:ascii="Times New Roman" w:hAnsi="Times New Roman"/>
          <w:sz w:val="24"/>
        </w:rPr>
        <w:t>, en el mes de mayo/junio del curso anterior,</w:t>
      </w:r>
      <w:r w:rsidR="00004D67">
        <w:rPr>
          <w:rFonts w:ascii="Times New Roman" w:hAnsi="Times New Roman"/>
          <w:sz w:val="24"/>
        </w:rPr>
        <w:t xml:space="preserve"> que temas se van a impartir en cada periodo del curso</w:t>
      </w:r>
      <w:r w:rsidR="00206CA9">
        <w:rPr>
          <w:rFonts w:ascii="Times New Roman" w:hAnsi="Times New Roman"/>
          <w:sz w:val="24"/>
        </w:rPr>
        <w:t xml:space="preserve"> siguiente</w:t>
      </w:r>
      <w:r w:rsidR="00004D67">
        <w:rPr>
          <w:rFonts w:ascii="Times New Roman" w:hAnsi="Times New Roman"/>
          <w:sz w:val="24"/>
        </w:rPr>
        <w:t>)</w:t>
      </w:r>
      <w:r w:rsidR="00271536" w:rsidRPr="006F00F2">
        <w:rPr>
          <w:rFonts w:ascii="Times New Roman" w:hAnsi="Times New Roman"/>
          <w:sz w:val="24"/>
        </w:rPr>
        <w:t>.</w:t>
      </w:r>
      <w:r w:rsidR="009067CF" w:rsidRPr="006F00F2">
        <w:rPr>
          <w:rFonts w:ascii="Times New Roman" w:hAnsi="Times New Roman"/>
          <w:sz w:val="24"/>
        </w:rPr>
        <w:t xml:space="preserve"> Por el contrario, otros apartados como la descripción de lo que aporta la asignatura al perfil del título</w:t>
      </w:r>
      <w:r w:rsidR="00FE6E65" w:rsidRPr="006F00F2">
        <w:rPr>
          <w:rFonts w:ascii="Times New Roman" w:hAnsi="Times New Roman"/>
          <w:sz w:val="24"/>
        </w:rPr>
        <w:t xml:space="preserve"> no aparecen recogidos </w:t>
      </w:r>
      <w:r w:rsidR="00FE6E65" w:rsidRPr="00FB0642">
        <w:rPr>
          <w:rFonts w:ascii="Times New Roman" w:hAnsi="Times New Roman"/>
          <w:sz w:val="24"/>
        </w:rPr>
        <w:t xml:space="preserve">en </w:t>
      </w:r>
      <w:r w:rsidR="00206CA9">
        <w:rPr>
          <w:rFonts w:ascii="Times New Roman" w:hAnsi="Times New Roman"/>
          <w:sz w:val="24"/>
        </w:rPr>
        <w:t>el</w:t>
      </w:r>
      <w:r w:rsidR="00FE6E65" w:rsidRPr="00FB0642">
        <w:rPr>
          <w:rFonts w:ascii="Times New Roman" w:hAnsi="Times New Roman"/>
          <w:sz w:val="24"/>
        </w:rPr>
        <w:t xml:space="preserve"> modelo de guía docente</w:t>
      </w:r>
      <w:r w:rsidR="00206CA9">
        <w:rPr>
          <w:rFonts w:ascii="Times New Roman" w:hAnsi="Times New Roman"/>
          <w:sz w:val="24"/>
        </w:rPr>
        <w:t xml:space="preserve"> de la ULL y es recomendable su incorporación, dado que es un buen referente para la orientación del alumnado</w:t>
      </w:r>
      <w:r w:rsidR="00FE6E65" w:rsidRPr="00FB0642">
        <w:rPr>
          <w:rFonts w:ascii="Times New Roman" w:hAnsi="Times New Roman"/>
          <w:sz w:val="24"/>
        </w:rPr>
        <w:t>.</w:t>
      </w:r>
    </w:p>
    <w:p w14:paraId="3F587A2E" w14:textId="66D23A0F" w:rsidR="00A85DF0" w:rsidRPr="00FB0642" w:rsidRDefault="003A4C35" w:rsidP="00855BDD">
      <w:pPr>
        <w:ind w:firstLine="709"/>
        <w:rPr>
          <w:rFonts w:ascii="Times New Roman" w:hAnsi="Times New Roman"/>
          <w:sz w:val="24"/>
        </w:rPr>
      </w:pPr>
      <w:r>
        <w:rPr>
          <w:rFonts w:ascii="Times New Roman" w:hAnsi="Times New Roman"/>
          <w:sz w:val="24"/>
        </w:rPr>
        <w:t>A modo de conclusiones y como</w:t>
      </w:r>
      <w:r w:rsidR="00A85DF0" w:rsidRPr="00FB0642">
        <w:rPr>
          <w:rFonts w:ascii="Times New Roman" w:hAnsi="Times New Roman"/>
          <w:sz w:val="24"/>
        </w:rPr>
        <w:t xml:space="preserve"> derivación de este estudio</w:t>
      </w:r>
      <w:r>
        <w:rPr>
          <w:rFonts w:ascii="Times New Roman" w:hAnsi="Times New Roman"/>
          <w:sz w:val="24"/>
        </w:rPr>
        <w:t>, e</w:t>
      </w:r>
      <w:r w:rsidR="00206CA9">
        <w:rPr>
          <w:rFonts w:ascii="Times New Roman" w:hAnsi="Times New Roman"/>
          <w:sz w:val="24"/>
        </w:rPr>
        <w:t>n relación a las guías docentes</w:t>
      </w:r>
      <w:r w:rsidR="00A85DF0" w:rsidRPr="00FB0642">
        <w:rPr>
          <w:rFonts w:ascii="Times New Roman" w:hAnsi="Times New Roman"/>
          <w:sz w:val="24"/>
        </w:rPr>
        <w:t xml:space="preserve"> se</w:t>
      </w:r>
      <w:r>
        <w:rPr>
          <w:rFonts w:ascii="Times New Roman" w:hAnsi="Times New Roman"/>
          <w:sz w:val="24"/>
        </w:rPr>
        <w:t>ría necesario:</w:t>
      </w:r>
    </w:p>
    <w:p w14:paraId="209A06B3" w14:textId="0B3FA824" w:rsidR="00206CA9" w:rsidRDefault="003A4C35" w:rsidP="00855BDD">
      <w:pPr>
        <w:pStyle w:val="Prrafodelista"/>
        <w:numPr>
          <w:ilvl w:val="0"/>
          <w:numId w:val="19"/>
        </w:numPr>
        <w:ind w:left="709"/>
        <w:rPr>
          <w:rFonts w:ascii="Times New Roman" w:hAnsi="Times New Roman"/>
          <w:sz w:val="24"/>
        </w:rPr>
      </w:pPr>
      <w:r>
        <w:rPr>
          <w:rFonts w:ascii="Times New Roman" w:hAnsi="Times New Roman"/>
          <w:sz w:val="24"/>
        </w:rPr>
        <w:t>A</w:t>
      </w:r>
      <w:r w:rsidR="00206CA9">
        <w:rPr>
          <w:rFonts w:ascii="Times New Roman" w:hAnsi="Times New Roman"/>
          <w:sz w:val="24"/>
        </w:rPr>
        <w:t>probar procedimientos más ágiles para que las correcciones que se solicitan a la ANECA mediante modificaciones de las memorias de verificación del título, se aprueben e incorporen de manera más rápida.</w:t>
      </w:r>
    </w:p>
    <w:p w14:paraId="758731D2" w14:textId="698E6513" w:rsidR="00A85DF0" w:rsidRPr="006F00F2" w:rsidRDefault="003A4C35" w:rsidP="00855BDD">
      <w:pPr>
        <w:pStyle w:val="Prrafodelista"/>
        <w:numPr>
          <w:ilvl w:val="0"/>
          <w:numId w:val="19"/>
        </w:numPr>
        <w:ind w:left="709"/>
        <w:rPr>
          <w:rFonts w:ascii="Times New Roman" w:hAnsi="Times New Roman"/>
          <w:sz w:val="24"/>
        </w:rPr>
      </w:pPr>
      <w:r>
        <w:rPr>
          <w:rFonts w:ascii="Times New Roman" w:hAnsi="Times New Roman"/>
          <w:sz w:val="24"/>
        </w:rPr>
        <w:t>D</w:t>
      </w:r>
      <w:r w:rsidR="00206CA9">
        <w:rPr>
          <w:rFonts w:ascii="Times New Roman" w:hAnsi="Times New Roman"/>
          <w:sz w:val="24"/>
        </w:rPr>
        <w:t>iseñar</w:t>
      </w:r>
      <w:r w:rsidR="00A85DF0" w:rsidRPr="006F00F2">
        <w:rPr>
          <w:rFonts w:ascii="Times New Roman" w:hAnsi="Times New Roman"/>
          <w:sz w:val="24"/>
        </w:rPr>
        <w:t xml:space="preserve"> un modelo de guía docente más sencillo, en el que se recojan los apartados básicos (resultados de aprendizaje, competencias, contenidos, sistema de evaluación y bibliografía) y se eliminen otros poco significativos como la temporalización o cronograma.</w:t>
      </w:r>
    </w:p>
    <w:p w14:paraId="5E8F3E26" w14:textId="19B5AF8C" w:rsidR="00A85DF0" w:rsidRPr="006F00F2" w:rsidRDefault="003A4C35" w:rsidP="00855BDD">
      <w:pPr>
        <w:pStyle w:val="Prrafodelista"/>
        <w:numPr>
          <w:ilvl w:val="0"/>
          <w:numId w:val="19"/>
        </w:numPr>
        <w:ind w:left="709"/>
        <w:rPr>
          <w:rFonts w:ascii="Times New Roman" w:hAnsi="Times New Roman"/>
          <w:sz w:val="24"/>
        </w:rPr>
      </w:pPr>
      <w:r>
        <w:rPr>
          <w:rFonts w:ascii="Times New Roman" w:hAnsi="Times New Roman"/>
          <w:sz w:val="24"/>
        </w:rPr>
        <w:t>L</w:t>
      </w:r>
      <w:r w:rsidR="00206CA9">
        <w:rPr>
          <w:rFonts w:ascii="Times New Roman" w:hAnsi="Times New Roman"/>
          <w:sz w:val="24"/>
        </w:rPr>
        <w:t>ograr</w:t>
      </w:r>
      <w:r w:rsidR="00A85DF0" w:rsidRPr="006F00F2">
        <w:rPr>
          <w:rFonts w:ascii="Times New Roman" w:hAnsi="Times New Roman"/>
          <w:sz w:val="24"/>
        </w:rPr>
        <w:t xml:space="preserve"> que las áreas de conocimiento se impliquen y tengan mayor protagonismo en la determinación de los contenidos básicos de cada asignatura.</w:t>
      </w:r>
    </w:p>
    <w:p w14:paraId="38501132" w14:textId="1D8470BF" w:rsidR="00A85DF0" w:rsidRPr="006F00F2" w:rsidRDefault="003A4C35" w:rsidP="00855BDD">
      <w:pPr>
        <w:pStyle w:val="Prrafodelista"/>
        <w:numPr>
          <w:ilvl w:val="0"/>
          <w:numId w:val="19"/>
        </w:numPr>
        <w:ind w:left="709"/>
        <w:rPr>
          <w:rFonts w:ascii="Times New Roman" w:hAnsi="Times New Roman"/>
          <w:sz w:val="24"/>
        </w:rPr>
      </w:pPr>
      <w:r>
        <w:rPr>
          <w:rFonts w:ascii="Times New Roman" w:hAnsi="Times New Roman"/>
          <w:sz w:val="24"/>
        </w:rPr>
        <w:t>Permitir una</w:t>
      </w:r>
      <w:r w:rsidRPr="006F00F2">
        <w:rPr>
          <w:rFonts w:ascii="Times New Roman" w:hAnsi="Times New Roman"/>
          <w:sz w:val="24"/>
        </w:rPr>
        <w:t xml:space="preserve"> mayor autonomía </w:t>
      </w:r>
      <w:r>
        <w:rPr>
          <w:rFonts w:ascii="Times New Roman" w:hAnsi="Times New Roman"/>
          <w:sz w:val="24"/>
        </w:rPr>
        <w:t>al profesorado a la hora de h</w:t>
      </w:r>
      <w:r w:rsidRPr="006F00F2">
        <w:rPr>
          <w:rFonts w:ascii="Times New Roman" w:hAnsi="Times New Roman"/>
          <w:sz w:val="24"/>
        </w:rPr>
        <w:t>acer suya la guía docente y desarrollar su propuesta metodológica</w:t>
      </w:r>
      <w:r>
        <w:rPr>
          <w:rFonts w:ascii="Times New Roman" w:hAnsi="Times New Roman"/>
          <w:sz w:val="24"/>
        </w:rPr>
        <w:t xml:space="preserve">, </w:t>
      </w:r>
      <w:r w:rsidR="00206CA9">
        <w:rPr>
          <w:rFonts w:ascii="Times New Roman" w:hAnsi="Times New Roman"/>
          <w:sz w:val="24"/>
        </w:rPr>
        <w:t>d</w:t>
      </w:r>
      <w:r w:rsidR="00A85DF0" w:rsidRPr="006F00F2">
        <w:rPr>
          <w:rFonts w:ascii="Times New Roman" w:hAnsi="Times New Roman"/>
          <w:sz w:val="24"/>
        </w:rPr>
        <w:t xml:space="preserve">espués de garantizar </w:t>
      </w:r>
      <w:r>
        <w:rPr>
          <w:rFonts w:ascii="Times New Roman" w:hAnsi="Times New Roman"/>
          <w:sz w:val="24"/>
        </w:rPr>
        <w:t>que se cumple con los requisitos</w:t>
      </w:r>
      <w:r w:rsidR="00A85DF0" w:rsidRPr="006F00F2">
        <w:rPr>
          <w:rFonts w:ascii="Times New Roman" w:hAnsi="Times New Roman"/>
          <w:sz w:val="24"/>
        </w:rPr>
        <w:t xml:space="preserve"> básicos del programa de cada asignatura</w:t>
      </w:r>
      <w:r>
        <w:rPr>
          <w:rFonts w:ascii="Times New Roman" w:hAnsi="Times New Roman"/>
          <w:sz w:val="24"/>
        </w:rPr>
        <w:t xml:space="preserve">. </w:t>
      </w:r>
    </w:p>
    <w:p w14:paraId="36076AEF" w14:textId="3AA36649" w:rsidR="00A85DF0" w:rsidRDefault="003A4C35" w:rsidP="00855BDD">
      <w:pPr>
        <w:pStyle w:val="Prrafodelista"/>
        <w:numPr>
          <w:ilvl w:val="0"/>
          <w:numId w:val="19"/>
        </w:numPr>
        <w:ind w:left="709"/>
        <w:rPr>
          <w:rFonts w:ascii="Times New Roman" w:hAnsi="Times New Roman"/>
          <w:sz w:val="24"/>
        </w:rPr>
      </w:pPr>
      <w:r>
        <w:rPr>
          <w:rFonts w:ascii="Times New Roman" w:hAnsi="Times New Roman"/>
          <w:sz w:val="24"/>
        </w:rPr>
        <w:t>S</w:t>
      </w:r>
      <w:r w:rsidR="00A85DF0" w:rsidRPr="006F00F2">
        <w:rPr>
          <w:rFonts w:ascii="Times New Roman" w:hAnsi="Times New Roman"/>
          <w:sz w:val="24"/>
        </w:rPr>
        <w:t xml:space="preserve">ensibilizar al profesorado </w:t>
      </w:r>
      <w:r>
        <w:rPr>
          <w:rFonts w:ascii="Times New Roman" w:hAnsi="Times New Roman"/>
          <w:sz w:val="24"/>
        </w:rPr>
        <w:t xml:space="preserve">acerca de la </w:t>
      </w:r>
      <w:r w:rsidR="00A85DF0" w:rsidRPr="006F00F2">
        <w:rPr>
          <w:rFonts w:ascii="Times New Roman" w:hAnsi="Times New Roman"/>
          <w:sz w:val="24"/>
        </w:rPr>
        <w:t>importancia y conveniencia de que las guías docentes estén presente</w:t>
      </w:r>
      <w:r>
        <w:rPr>
          <w:rFonts w:ascii="Times New Roman" w:hAnsi="Times New Roman"/>
          <w:sz w:val="24"/>
        </w:rPr>
        <w:t>s</w:t>
      </w:r>
      <w:r w:rsidR="00A85DF0" w:rsidRPr="006F00F2">
        <w:rPr>
          <w:rFonts w:ascii="Times New Roman" w:hAnsi="Times New Roman"/>
          <w:sz w:val="24"/>
        </w:rPr>
        <w:t xml:space="preserve"> a lo largo del curso, </w:t>
      </w:r>
      <w:r>
        <w:rPr>
          <w:rFonts w:ascii="Times New Roman" w:hAnsi="Times New Roman"/>
          <w:sz w:val="24"/>
        </w:rPr>
        <w:t xml:space="preserve">como un elemento integrado </w:t>
      </w:r>
      <w:r w:rsidR="00A85DF0" w:rsidRPr="006F00F2">
        <w:rPr>
          <w:rFonts w:ascii="Times New Roman" w:hAnsi="Times New Roman"/>
          <w:sz w:val="24"/>
        </w:rPr>
        <w:t>en el proceso formativo.</w:t>
      </w:r>
    </w:p>
    <w:p w14:paraId="24222BCC" w14:textId="2007CCCA" w:rsidR="003A4C35" w:rsidRPr="006F00F2" w:rsidRDefault="003A4C35" w:rsidP="00855BDD">
      <w:pPr>
        <w:pStyle w:val="Prrafodelista"/>
        <w:numPr>
          <w:ilvl w:val="0"/>
          <w:numId w:val="19"/>
        </w:numPr>
        <w:ind w:left="709"/>
        <w:rPr>
          <w:rFonts w:ascii="Times New Roman" w:hAnsi="Times New Roman"/>
          <w:sz w:val="24"/>
        </w:rPr>
      </w:pPr>
      <w:r>
        <w:rPr>
          <w:rFonts w:ascii="Times New Roman" w:hAnsi="Times New Roman"/>
          <w:sz w:val="24"/>
        </w:rPr>
        <w:t>Fomentar en el alumnado la utilización de la guía docente, como un referente y recurso orientativo del proceso de enseñanza-aprendizaje.</w:t>
      </w:r>
    </w:p>
    <w:p w14:paraId="0922E9ED" w14:textId="77777777" w:rsidR="00A85DF0" w:rsidRPr="00A85DF0" w:rsidRDefault="00A85DF0" w:rsidP="00855BDD">
      <w:pPr>
        <w:ind w:firstLine="0"/>
      </w:pPr>
    </w:p>
    <w:p w14:paraId="572C9949" w14:textId="14138B12" w:rsidR="004A6DBF" w:rsidRDefault="004A6DBF" w:rsidP="00855BDD">
      <w:pPr>
        <w:ind w:firstLine="0"/>
        <w:rPr>
          <w:rFonts w:ascii="Times New Roman" w:hAnsi="Times New Roman"/>
          <w:color w:val="3366FF"/>
          <w:sz w:val="24"/>
        </w:rPr>
      </w:pPr>
    </w:p>
    <w:p w14:paraId="023374A2" w14:textId="5C83A417" w:rsidR="001D2722" w:rsidRDefault="004A6DBF" w:rsidP="00855BDD">
      <w:pPr>
        <w:ind w:firstLine="0"/>
        <w:rPr>
          <w:rFonts w:ascii="Times New Roman" w:hAnsi="Times New Roman"/>
          <w:b/>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413AFF11" w14:textId="77777777" w:rsidR="00F77FFE" w:rsidRPr="004A6DBF" w:rsidRDefault="00F77FFE" w:rsidP="00855BDD">
      <w:pPr>
        <w:ind w:firstLine="0"/>
        <w:rPr>
          <w:rFonts w:ascii="Times New Roman" w:hAnsi="Times New Roman"/>
          <w:b/>
          <w:caps/>
          <w:color w:val="000000" w:themeColor="text1"/>
          <w:sz w:val="24"/>
        </w:rPr>
      </w:pPr>
    </w:p>
    <w:p w14:paraId="6BAF8267" w14:textId="4A09F7F9" w:rsidR="00B3468F" w:rsidRPr="00AC063B" w:rsidRDefault="00B3468F" w:rsidP="00855BDD">
      <w:pPr>
        <w:ind w:left="567" w:hanging="567"/>
        <w:rPr>
          <w:rFonts w:ascii="Times New Roman" w:hAnsi="Times New Roman"/>
          <w:sz w:val="24"/>
        </w:rPr>
      </w:pPr>
      <w:r w:rsidRPr="00AC063B">
        <w:rPr>
          <w:rFonts w:ascii="Times New Roman" w:hAnsi="Times New Roman"/>
          <w:sz w:val="24"/>
        </w:rPr>
        <w:t xml:space="preserve">Bozu, Z., y Canto, P. (2009). El profesorado universitario en la sociedad del conocimiento: competencias profesionales docentes. </w:t>
      </w:r>
      <w:r w:rsidRPr="00AC063B">
        <w:rPr>
          <w:rFonts w:ascii="Times New Roman" w:hAnsi="Times New Roman"/>
          <w:i/>
          <w:sz w:val="24"/>
        </w:rPr>
        <w:t>Revista de Formación e Innovación Educativa Universitaria</w:t>
      </w:r>
      <w:r w:rsidRPr="00AC063B">
        <w:rPr>
          <w:rFonts w:ascii="Times New Roman" w:hAnsi="Times New Roman"/>
          <w:sz w:val="24"/>
        </w:rPr>
        <w:t xml:space="preserve">, </w:t>
      </w:r>
      <w:r w:rsidRPr="00B3468F">
        <w:rPr>
          <w:rFonts w:ascii="Times New Roman" w:hAnsi="Times New Roman"/>
          <w:i/>
          <w:sz w:val="24"/>
        </w:rPr>
        <w:t>2</w:t>
      </w:r>
      <w:r>
        <w:rPr>
          <w:rFonts w:ascii="Times New Roman" w:hAnsi="Times New Roman"/>
          <w:i/>
          <w:sz w:val="24"/>
        </w:rPr>
        <w:t xml:space="preserve"> </w:t>
      </w:r>
      <w:r>
        <w:rPr>
          <w:rFonts w:ascii="Times New Roman" w:hAnsi="Times New Roman"/>
          <w:sz w:val="24"/>
        </w:rPr>
        <w:t>(</w:t>
      </w:r>
      <w:r w:rsidRPr="00AC063B">
        <w:rPr>
          <w:rFonts w:ascii="Times New Roman" w:hAnsi="Times New Roman"/>
          <w:sz w:val="24"/>
        </w:rPr>
        <w:t>2</w:t>
      </w:r>
      <w:r>
        <w:rPr>
          <w:rFonts w:ascii="Times New Roman" w:hAnsi="Times New Roman"/>
          <w:sz w:val="24"/>
        </w:rPr>
        <w:t>)</w:t>
      </w:r>
      <w:r w:rsidRPr="00AC063B">
        <w:rPr>
          <w:rFonts w:ascii="Times New Roman" w:hAnsi="Times New Roman"/>
          <w:sz w:val="24"/>
        </w:rPr>
        <w:t>, 87-97.</w:t>
      </w:r>
    </w:p>
    <w:p w14:paraId="7D147C02" w14:textId="77777777" w:rsidR="006522F8" w:rsidRPr="006522F8" w:rsidRDefault="006522F8" w:rsidP="00E733B0">
      <w:pPr>
        <w:ind w:left="567" w:hanging="567"/>
        <w:rPr>
          <w:rFonts w:ascii="Times New Roman" w:hAnsi="Times New Roman"/>
          <w:sz w:val="24"/>
        </w:rPr>
      </w:pPr>
      <w:r w:rsidRPr="006522F8">
        <w:rPr>
          <w:rFonts w:ascii="Times New Roman" w:hAnsi="Times New Roman"/>
          <w:sz w:val="24"/>
        </w:rPr>
        <w:t xml:space="preserve">Cano, M., Tomás, R., García, J., Bañón, L., Riquelme, A.J., y Murcia, I. (2016). Evaluación de la implementación de las guías docentes de las asignaturas del ámbito de la Ingeniería del Terreno del Máster en Ingeniería Geológica. En J.D. Álvarez, S. Grau, y M.T. Tortosa (coord.), </w:t>
      </w:r>
      <w:r w:rsidRPr="006522F8">
        <w:rPr>
          <w:rFonts w:ascii="Times New Roman" w:hAnsi="Times New Roman"/>
          <w:i/>
          <w:sz w:val="24"/>
        </w:rPr>
        <w:t xml:space="preserve">Innovaciones metodológicas en docencia universitaria: resultados de investigación </w:t>
      </w:r>
      <w:r w:rsidRPr="006522F8">
        <w:rPr>
          <w:rFonts w:ascii="Times New Roman" w:hAnsi="Times New Roman"/>
          <w:sz w:val="24"/>
        </w:rPr>
        <w:t>(417-434)</w:t>
      </w:r>
      <w:r w:rsidRPr="006522F8">
        <w:rPr>
          <w:rFonts w:ascii="Times New Roman" w:hAnsi="Times New Roman"/>
          <w:i/>
          <w:sz w:val="24"/>
        </w:rPr>
        <w:t xml:space="preserve">. </w:t>
      </w:r>
      <w:r w:rsidRPr="006522F8">
        <w:rPr>
          <w:rFonts w:ascii="Times New Roman" w:hAnsi="Times New Roman"/>
          <w:sz w:val="24"/>
        </w:rPr>
        <w:t>Alicante: Servicio de publicaciones de la Universidad de Alicante.</w:t>
      </w:r>
    </w:p>
    <w:p w14:paraId="4C86F388" w14:textId="17CEDBC7" w:rsidR="00E733B0" w:rsidRPr="00535C26" w:rsidRDefault="00535C26" w:rsidP="00535C26">
      <w:pPr>
        <w:ind w:left="567" w:hanging="567"/>
        <w:rPr>
          <w:rFonts w:ascii="Times New Roman" w:hAnsi="Times New Roman"/>
          <w:sz w:val="24"/>
        </w:rPr>
      </w:pPr>
      <w:r w:rsidRPr="00535C26">
        <w:rPr>
          <w:rFonts w:ascii="Times New Roman" w:hAnsi="Times New Roman"/>
          <w:sz w:val="24"/>
        </w:rPr>
        <w:lastRenderedPageBreak/>
        <w:t>Declaración de Bolonia. Declaración conjunta de los Ministros Europeos de Educación reunidos en Bolonia, junio 1999</w:t>
      </w:r>
      <w:r>
        <w:rPr>
          <w:rFonts w:ascii="Times New Roman" w:hAnsi="Times New Roman"/>
          <w:sz w:val="24"/>
        </w:rPr>
        <w:t xml:space="preserve">. Consultado el 27 de junio de 2018 en </w:t>
      </w:r>
      <w:hyperlink r:id="rId8" w:history="1">
        <w:r w:rsidRPr="008F062E">
          <w:rPr>
            <w:rStyle w:val="Hipervnculo"/>
            <w:rFonts w:ascii="Times New Roman" w:hAnsi="Times New Roman"/>
            <w:sz w:val="24"/>
          </w:rPr>
          <w:t>http://www.eees.es/pdf/Declaracion_Bolonia.pdf</w:t>
        </w:r>
      </w:hyperlink>
      <w:r>
        <w:rPr>
          <w:rFonts w:ascii="Times New Roman" w:hAnsi="Times New Roman"/>
          <w:sz w:val="24"/>
        </w:rPr>
        <w:t xml:space="preserve"> </w:t>
      </w:r>
    </w:p>
    <w:p w14:paraId="62CC5753" w14:textId="7E89ADC3" w:rsidR="005070E6" w:rsidRPr="00DF4626" w:rsidRDefault="005070E6" w:rsidP="00E733B0">
      <w:pPr>
        <w:ind w:left="567" w:hanging="567"/>
        <w:rPr>
          <w:rFonts w:ascii="Times New Roman" w:hAnsi="Times New Roman"/>
          <w:sz w:val="24"/>
          <w:lang w:val="en-US"/>
        </w:rPr>
      </w:pPr>
      <w:r w:rsidRPr="00175D33">
        <w:rPr>
          <w:rFonts w:ascii="Times New Roman" w:hAnsi="Times New Roman"/>
          <w:sz w:val="24"/>
        </w:rPr>
        <w:t xml:space="preserve">Díez, C., Pacheco, D., y García, J. (2008). Las habilidades sociales en el marco del EEES. En M. Hijano del Río. </w:t>
      </w:r>
      <w:r w:rsidRPr="00175D33">
        <w:rPr>
          <w:rFonts w:ascii="Times New Roman" w:hAnsi="Times New Roman"/>
          <w:i/>
          <w:sz w:val="24"/>
        </w:rPr>
        <w:t>Las titulaciones de educación ante el Espacio Europeo de Educación Superior: análisis de experiencias</w:t>
      </w:r>
      <w:r w:rsidR="00175D33" w:rsidRPr="00175D33">
        <w:rPr>
          <w:rFonts w:ascii="Times New Roman" w:hAnsi="Times New Roman"/>
          <w:sz w:val="24"/>
        </w:rPr>
        <w:t xml:space="preserve"> (239-247)</w:t>
      </w:r>
      <w:r w:rsidRPr="00175D33">
        <w:rPr>
          <w:rFonts w:ascii="Times New Roman" w:hAnsi="Times New Roman"/>
          <w:sz w:val="24"/>
        </w:rPr>
        <w:t xml:space="preserve">. </w:t>
      </w:r>
      <w:r w:rsidRPr="00DF4626">
        <w:rPr>
          <w:rFonts w:ascii="Times New Roman" w:hAnsi="Times New Roman"/>
          <w:sz w:val="24"/>
          <w:lang w:val="en-US"/>
        </w:rPr>
        <w:t>Málaga: Aljibe.</w:t>
      </w:r>
    </w:p>
    <w:p w14:paraId="062F8CAB" w14:textId="63C37B2A" w:rsidR="00B3468F" w:rsidRPr="00175D33" w:rsidRDefault="00B3468F" w:rsidP="00E733B0">
      <w:pPr>
        <w:ind w:left="567" w:hanging="567"/>
        <w:rPr>
          <w:rFonts w:ascii="Times New Roman" w:hAnsi="Times New Roman"/>
          <w:sz w:val="24"/>
        </w:rPr>
      </w:pPr>
      <w:r w:rsidRPr="00DF4626">
        <w:rPr>
          <w:rFonts w:ascii="Times New Roman" w:hAnsi="Times New Roman"/>
          <w:sz w:val="24"/>
          <w:lang w:val="en-US"/>
        </w:rPr>
        <w:t xml:space="preserve">Ercikan, K., y Roth, W. (2006). </w:t>
      </w:r>
      <w:r w:rsidRPr="00175D33">
        <w:rPr>
          <w:rFonts w:ascii="Times New Roman" w:hAnsi="Times New Roman"/>
          <w:sz w:val="24"/>
          <w:lang w:val="en-US"/>
        </w:rPr>
        <w:t xml:space="preserve">What good is polarizing research into qualitative and quantitative? </w:t>
      </w:r>
      <w:r w:rsidRPr="00175D33">
        <w:rPr>
          <w:rFonts w:ascii="Times New Roman" w:hAnsi="Times New Roman"/>
          <w:i/>
          <w:sz w:val="24"/>
        </w:rPr>
        <w:t>Educational Researcher</w:t>
      </w:r>
      <w:r w:rsidRPr="00175D33">
        <w:rPr>
          <w:rFonts w:ascii="Times New Roman" w:hAnsi="Times New Roman"/>
          <w:sz w:val="24"/>
        </w:rPr>
        <w:t xml:space="preserve">, </w:t>
      </w:r>
      <w:r w:rsidRPr="00175D33">
        <w:rPr>
          <w:rFonts w:ascii="Times New Roman" w:hAnsi="Times New Roman"/>
          <w:i/>
          <w:sz w:val="24"/>
        </w:rPr>
        <w:t>35</w:t>
      </w:r>
      <w:r w:rsidRPr="00175D33">
        <w:rPr>
          <w:rFonts w:ascii="Times New Roman" w:hAnsi="Times New Roman"/>
          <w:sz w:val="24"/>
        </w:rPr>
        <w:t xml:space="preserve"> (5), 14-23. </w:t>
      </w:r>
    </w:p>
    <w:p w14:paraId="72F93D5F" w14:textId="65D71744" w:rsidR="00CB70A6" w:rsidRPr="00175D33" w:rsidRDefault="00CB70A6" w:rsidP="00855BDD">
      <w:pPr>
        <w:ind w:left="567" w:hanging="567"/>
        <w:rPr>
          <w:rFonts w:ascii="Times New Roman" w:hAnsi="Times New Roman"/>
          <w:sz w:val="24"/>
        </w:rPr>
      </w:pPr>
      <w:r w:rsidRPr="00175D33">
        <w:rPr>
          <w:rFonts w:ascii="Times New Roman" w:hAnsi="Times New Roman"/>
          <w:sz w:val="24"/>
        </w:rPr>
        <w:t xml:space="preserve">Fernández, A., y Fernández, M. (2007). Enfoques de evaluación educativa en la enseñanza universitaria. En M. López. </w:t>
      </w:r>
      <w:r w:rsidRPr="00175D33">
        <w:rPr>
          <w:rFonts w:ascii="Times New Roman" w:hAnsi="Times New Roman"/>
          <w:i/>
          <w:sz w:val="24"/>
        </w:rPr>
        <w:t>Evaluación de los procesos de enseñanza aprendizaje en la universidad y su adaptación al Espacio Europeo de Educación Superior</w:t>
      </w:r>
      <w:r w:rsidR="00175D33" w:rsidRPr="00175D33">
        <w:rPr>
          <w:rFonts w:ascii="Times New Roman" w:hAnsi="Times New Roman"/>
          <w:sz w:val="24"/>
        </w:rPr>
        <w:t xml:space="preserve"> (29-46)</w:t>
      </w:r>
      <w:r w:rsidRPr="00175D33">
        <w:rPr>
          <w:rFonts w:ascii="Times New Roman" w:hAnsi="Times New Roman"/>
          <w:sz w:val="24"/>
        </w:rPr>
        <w:t>. Granada: Editorial Universidad de Granada</w:t>
      </w:r>
      <w:r w:rsidR="00175D33" w:rsidRPr="00175D33">
        <w:rPr>
          <w:rFonts w:ascii="Times New Roman" w:hAnsi="Times New Roman"/>
          <w:sz w:val="24"/>
        </w:rPr>
        <w:t>.</w:t>
      </w:r>
    </w:p>
    <w:p w14:paraId="72FBE1FD" w14:textId="24626A06" w:rsidR="00004156" w:rsidRPr="00175D33" w:rsidRDefault="00004156" w:rsidP="00855BDD">
      <w:pPr>
        <w:ind w:left="567" w:hanging="567"/>
        <w:rPr>
          <w:rFonts w:ascii="Times New Roman" w:hAnsi="Times New Roman"/>
          <w:sz w:val="24"/>
        </w:rPr>
      </w:pPr>
      <w:r w:rsidRPr="00175D33">
        <w:rPr>
          <w:rFonts w:ascii="Times New Roman" w:hAnsi="Times New Roman"/>
          <w:sz w:val="24"/>
        </w:rPr>
        <w:t>Fidalgo</w:t>
      </w:r>
      <w:r w:rsidR="005070E6" w:rsidRPr="00175D33">
        <w:rPr>
          <w:rFonts w:ascii="Times New Roman" w:hAnsi="Times New Roman"/>
          <w:sz w:val="24"/>
        </w:rPr>
        <w:t>, R.,</w:t>
      </w:r>
      <w:r w:rsidRPr="00175D33">
        <w:rPr>
          <w:rFonts w:ascii="Times New Roman" w:hAnsi="Times New Roman"/>
          <w:sz w:val="24"/>
        </w:rPr>
        <w:t xml:space="preserve"> y García</w:t>
      </w:r>
      <w:r w:rsidR="005070E6" w:rsidRPr="00175D33">
        <w:rPr>
          <w:rFonts w:ascii="Times New Roman" w:hAnsi="Times New Roman"/>
          <w:sz w:val="24"/>
        </w:rPr>
        <w:t>, J. (2007</w:t>
      </w:r>
      <w:r w:rsidRPr="00175D33">
        <w:rPr>
          <w:rFonts w:ascii="Times New Roman" w:hAnsi="Times New Roman"/>
          <w:sz w:val="24"/>
        </w:rPr>
        <w:t xml:space="preserve">). </w:t>
      </w:r>
      <w:r w:rsidR="005070E6" w:rsidRPr="00175D33">
        <w:rPr>
          <w:rFonts w:ascii="Times New Roman" w:hAnsi="Times New Roman"/>
          <w:sz w:val="24"/>
        </w:rPr>
        <w:t xml:space="preserve">Las directrices del Espacio Europeo de Educación Superior en el marco legislativo del sistema universitario español. </w:t>
      </w:r>
      <w:r w:rsidR="005070E6" w:rsidRPr="00175D33">
        <w:rPr>
          <w:rFonts w:ascii="Times New Roman" w:hAnsi="Times New Roman"/>
          <w:i/>
          <w:sz w:val="24"/>
        </w:rPr>
        <w:t>Aula Abierta</w:t>
      </w:r>
      <w:r w:rsidR="005070E6" w:rsidRPr="00175D33">
        <w:rPr>
          <w:rFonts w:ascii="Times New Roman" w:hAnsi="Times New Roman"/>
          <w:sz w:val="24"/>
        </w:rPr>
        <w:t xml:space="preserve">, </w:t>
      </w:r>
      <w:r w:rsidR="005070E6" w:rsidRPr="00175D33">
        <w:rPr>
          <w:rFonts w:ascii="Times New Roman" w:hAnsi="Times New Roman"/>
          <w:i/>
          <w:sz w:val="24"/>
        </w:rPr>
        <w:t>35</w:t>
      </w:r>
      <w:r w:rsidR="005070E6" w:rsidRPr="00175D33">
        <w:rPr>
          <w:rFonts w:ascii="Times New Roman" w:hAnsi="Times New Roman"/>
          <w:sz w:val="24"/>
        </w:rPr>
        <w:t>, 35-48.</w:t>
      </w:r>
    </w:p>
    <w:p w14:paraId="16AEBB67" w14:textId="77777777" w:rsidR="006522F8" w:rsidRPr="006522F8" w:rsidRDefault="006522F8" w:rsidP="006522F8">
      <w:pPr>
        <w:ind w:left="567" w:hanging="567"/>
        <w:rPr>
          <w:rFonts w:ascii="Times New Roman" w:hAnsi="Times New Roman"/>
          <w:sz w:val="24"/>
        </w:rPr>
      </w:pPr>
      <w:r w:rsidRPr="006522F8">
        <w:rPr>
          <w:rFonts w:ascii="Times New Roman" w:hAnsi="Times New Roman"/>
          <w:sz w:val="24"/>
        </w:rPr>
        <w:t xml:space="preserve">García, L. (2014). La Guía Didáctica. </w:t>
      </w:r>
      <w:r w:rsidRPr="006522F8">
        <w:rPr>
          <w:rFonts w:ascii="Times New Roman" w:hAnsi="Times New Roman"/>
          <w:i/>
          <w:sz w:val="24"/>
        </w:rPr>
        <w:t>Contextos Universitarios Mediados</w:t>
      </w:r>
      <w:r w:rsidRPr="006522F8">
        <w:rPr>
          <w:rFonts w:ascii="Times New Roman" w:hAnsi="Times New Roman"/>
          <w:sz w:val="24"/>
        </w:rPr>
        <w:t xml:space="preserve">, </w:t>
      </w:r>
      <w:r w:rsidRPr="006522F8">
        <w:rPr>
          <w:rFonts w:ascii="Times New Roman" w:hAnsi="Times New Roman"/>
          <w:i/>
          <w:sz w:val="24"/>
        </w:rPr>
        <w:t>14</w:t>
      </w:r>
      <w:r w:rsidRPr="006522F8">
        <w:rPr>
          <w:rFonts w:ascii="Times New Roman" w:hAnsi="Times New Roman"/>
          <w:sz w:val="24"/>
        </w:rPr>
        <w:t>, 5.</w:t>
      </w:r>
    </w:p>
    <w:p w14:paraId="70C0CC53" w14:textId="06A04658" w:rsidR="006522F8" w:rsidRDefault="006522F8" w:rsidP="00855BDD">
      <w:pPr>
        <w:ind w:left="567" w:hanging="567"/>
        <w:rPr>
          <w:rFonts w:ascii="Times New Roman" w:hAnsi="Times New Roman"/>
          <w:sz w:val="24"/>
        </w:rPr>
      </w:pPr>
      <w:r w:rsidRPr="006522F8">
        <w:rPr>
          <w:rFonts w:ascii="Times New Roman" w:hAnsi="Times New Roman"/>
          <w:sz w:val="24"/>
        </w:rPr>
        <w:t xml:space="preserve">García, I., y De la Cruz, G. (2014). Las guías didácticas: recursos necesarios para el aprendizaje autónomo. </w:t>
      </w:r>
      <w:r w:rsidRPr="00535C26">
        <w:rPr>
          <w:rFonts w:ascii="Times New Roman" w:hAnsi="Times New Roman"/>
          <w:i/>
          <w:sz w:val="24"/>
        </w:rPr>
        <w:t>Revista Edumecentro</w:t>
      </w:r>
      <w:r w:rsidRPr="006522F8">
        <w:rPr>
          <w:rFonts w:ascii="Times New Roman" w:hAnsi="Times New Roman"/>
          <w:sz w:val="24"/>
        </w:rPr>
        <w:t xml:space="preserve">, </w:t>
      </w:r>
      <w:r w:rsidRPr="006522F8">
        <w:rPr>
          <w:rFonts w:ascii="Times New Roman" w:hAnsi="Times New Roman"/>
          <w:i/>
          <w:sz w:val="24"/>
        </w:rPr>
        <w:t>6</w:t>
      </w:r>
      <w:r w:rsidR="00535C26">
        <w:rPr>
          <w:rFonts w:ascii="Times New Roman" w:hAnsi="Times New Roman"/>
          <w:sz w:val="24"/>
        </w:rPr>
        <w:t xml:space="preserve"> (</w:t>
      </w:r>
      <w:r w:rsidRPr="006522F8">
        <w:rPr>
          <w:rFonts w:ascii="Times New Roman" w:hAnsi="Times New Roman"/>
          <w:sz w:val="24"/>
        </w:rPr>
        <w:t>3</w:t>
      </w:r>
      <w:r w:rsidR="00535C26">
        <w:rPr>
          <w:rFonts w:ascii="Times New Roman" w:hAnsi="Times New Roman"/>
          <w:sz w:val="24"/>
        </w:rPr>
        <w:t>)</w:t>
      </w:r>
      <w:r w:rsidRPr="006522F8">
        <w:rPr>
          <w:rFonts w:ascii="Times New Roman" w:hAnsi="Times New Roman"/>
          <w:sz w:val="24"/>
        </w:rPr>
        <w:t xml:space="preserve">, 162-175. </w:t>
      </w:r>
    </w:p>
    <w:p w14:paraId="209032F9" w14:textId="2F6B76ED" w:rsidR="00855BDD" w:rsidRPr="00175D33" w:rsidRDefault="00855BDD" w:rsidP="00855BDD">
      <w:pPr>
        <w:ind w:left="567" w:hanging="567"/>
        <w:rPr>
          <w:rFonts w:ascii="Times New Roman" w:hAnsi="Times New Roman"/>
          <w:sz w:val="24"/>
        </w:rPr>
      </w:pPr>
      <w:r w:rsidRPr="00175D33">
        <w:rPr>
          <w:rFonts w:ascii="Times New Roman" w:hAnsi="Times New Roman"/>
          <w:sz w:val="24"/>
        </w:rPr>
        <w:t xml:space="preserve">García, E.C., y Deltell, L. (2012). La guía docente: un reto en el nuevo modelo de educación universitaria. </w:t>
      </w:r>
      <w:r w:rsidRPr="00175D33">
        <w:rPr>
          <w:rFonts w:ascii="Times New Roman" w:hAnsi="Times New Roman"/>
          <w:i/>
          <w:sz w:val="24"/>
        </w:rPr>
        <w:t>Estudios sobre el mensaje periodístico, 18</w:t>
      </w:r>
      <w:r w:rsidRPr="00175D33">
        <w:rPr>
          <w:rFonts w:ascii="Times New Roman" w:hAnsi="Times New Roman"/>
          <w:sz w:val="24"/>
        </w:rPr>
        <w:t>, 357-364.</w:t>
      </w:r>
    </w:p>
    <w:p w14:paraId="472A9F21" w14:textId="79E35065" w:rsidR="00B3468F" w:rsidRPr="00175D33" w:rsidRDefault="00B3468F" w:rsidP="00855BDD">
      <w:pPr>
        <w:ind w:left="567" w:hanging="567"/>
        <w:rPr>
          <w:rFonts w:ascii="Times New Roman" w:hAnsi="Times New Roman"/>
          <w:sz w:val="24"/>
          <w:lang w:val="en-US"/>
        </w:rPr>
      </w:pPr>
      <w:r w:rsidRPr="00175D33">
        <w:rPr>
          <w:rFonts w:ascii="Times New Roman" w:hAnsi="Times New Roman"/>
          <w:sz w:val="24"/>
        </w:rPr>
        <w:t>García, M. (2008)</w:t>
      </w:r>
      <w:r w:rsidR="00855BDD" w:rsidRPr="00175D33">
        <w:rPr>
          <w:rFonts w:ascii="Times New Roman" w:hAnsi="Times New Roman"/>
          <w:sz w:val="24"/>
        </w:rPr>
        <w:t>.</w:t>
      </w:r>
      <w:r w:rsidRPr="00175D33">
        <w:rPr>
          <w:rFonts w:ascii="Times New Roman" w:hAnsi="Times New Roman"/>
          <w:sz w:val="24"/>
        </w:rPr>
        <w:t xml:space="preserve"> </w:t>
      </w:r>
      <w:r w:rsidRPr="00175D33">
        <w:rPr>
          <w:rFonts w:ascii="Times New Roman" w:hAnsi="Times New Roman"/>
          <w:i/>
          <w:sz w:val="24"/>
        </w:rPr>
        <w:t>Guías docentes de asignaturas de Grado en el EEES</w:t>
      </w:r>
      <w:r w:rsidRPr="00175D33">
        <w:rPr>
          <w:rFonts w:ascii="Times New Roman" w:hAnsi="Times New Roman"/>
          <w:sz w:val="24"/>
        </w:rPr>
        <w:t xml:space="preserve">. </w:t>
      </w:r>
      <w:r w:rsidRPr="00175D33">
        <w:rPr>
          <w:rFonts w:ascii="Times New Roman" w:hAnsi="Times New Roman"/>
          <w:sz w:val="24"/>
          <w:lang w:val="en-US"/>
        </w:rPr>
        <w:t>Editum: Universidad de Murcia</w:t>
      </w:r>
      <w:r w:rsidR="00855BDD" w:rsidRPr="00175D33">
        <w:rPr>
          <w:rFonts w:ascii="Times New Roman" w:hAnsi="Times New Roman"/>
          <w:sz w:val="24"/>
          <w:lang w:val="en-US"/>
        </w:rPr>
        <w:t>.</w:t>
      </w:r>
    </w:p>
    <w:p w14:paraId="4B10E4B3" w14:textId="1A6B73DF" w:rsidR="00B3468F" w:rsidRPr="00175D33" w:rsidRDefault="00B3468F" w:rsidP="00855BDD">
      <w:pPr>
        <w:ind w:left="567" w:hanging="567"/>
        <w:rPr>
          <w:rFonts w:ascii="Times New Roman" w:hAnsi="Times New Roman"/>
          <w:sz w:val="24"/>
        </w:rPr>
      </w:pPr>
      <w:r w:rsidRPr="00175D33">
        <w:rPr>
          <w:rFonts w:ascii="Times New Roman" w:hAnsi="Times New Roman"/>
          <w:sz w:val="24"/>
          <w:lang w:val="en-US"/>
        </w:rPr>
        <w:t xml:space="preserve">Grinell, R. (1997). </w:t>
      </w:r>
      <w:r w:rsidRPr="00175D33">
        <w:rPr>
          <w:rFonts w:ascii="Times New Roman" w:hAnsi="Times New Roman"/>
          <w:i/>
          <w:sz w:val="24"/>
          <w:lang w:val="en-US"/>
        </w:rPr>
        <w:t>Social work research &amp; evaluation: Quantitative and qualitative approaches</w:t>
      </w:r>
      <w:r w:rsidRPr="00175D33">
        <w:rPr>
          <w:rFonts w:ascii="Times New Roman" w:hAnsi="Times New Roman"/>
          <w:sz w:val="24"/>
          <w:lang w:val="en-US"/>
        </w:rPr>
        <w:t xml:space="preserve">. </w:t>
      </w:r>
      <w:r w:rsidRPr="00175D33">
        <w:rPr>
          <w:rFonts w:ascii="Times New Roman" w:hAnsi="Times New Roman"/>
          <w:sz w:val="24"/>
        </w:rPr>
        <w:t>Illinois: Peacock Publishers.</w:t>
      </w:r>
    </w:p>
    <w:p w14:paraId="3C324758" w14:textId="723A8BC4" w:rsidR="00B3468F" w:rsidRPr="00175D33" w:rsidRDefault="00B3468F" w:rsidP="00855BDD">
      <w:pPr>
        <w:ind w:left="567" w:hanging="567"/>
        <w:rPr>
          <w:rFonts w:ascii="Times New Roman" w:hAnsi="Times New Roman"/>
          <w:sz w:val="24"/>
          <w:lang w:val="en-US"/>
        </w:rPr>
      </w:pPr>
      <w:r w:rsidRPr="00175D33">
        <w:rPr>
          <w:rFonts w:ascii="Times New Roman" w:hAnsi="Times New Roman"/>
          <w:sz w:val="24"/>
        </w:rPr>
        <w:t xml:space="preserve">Hernández, R., Fernández-Collado, C., y Baptista, P. (2006). </w:t>
      </w:r>
      <w:r w:rsidRPr="00175D33">
        <w:rPr>
          <w:rFonts w:ascii="Times New Roman" w:hAnsi="Times New Roman"/>
          <w:i/>
          <w:sz w:val="24"/>
        </w:rPr>
        <w:t>Metodología de la investigación</w:t>
      </w:r>
      <w:r w:rsidRPr="00175D33">
        <w:rPr>
          <w:rFonts w:ascii="Times New Roman" w:hAnsi="Times New Roman"/>
          <w:sz w:val="24"/>
        </w:rPr>
        <w:t xml:space="preserve">. </w:t>
      </w:r>
      <w:r w:rsidRPr="00175D33">
        <w:rPr>
          <w:rFonts w:ascii="Times New Roman" w:hAnsi="Times New Roman"/>
          <w:sz w:val="24"/>
          <w:lang w:val="en-US"/>
        </w:rPr>
        <w:t>México: McGrawHill.</w:t>
      </w:r>
    </w:p>
    <w:p w14:paraId="0340E531" w14:textId="77777777" w:rsidR="00B3468F" w:rsidRPr="00175D33" w:rsidRDefault="00B3468F" w:rsidP="00855BDD">
      <w:pPr>
        <w:ind w:left="567" w:hanging="567"/>
        <w:rPr>
          <w:rFonts w:ascii="Times New Roman" w:hAnsi="Times New Roman"/>
          <w:sz w:val="24"/>
        </w:rPr>
      </w:pPr>
      <w:r w:rsidRPr="00175D33">
        <w:rPr>
          <w:rFonts w:ascii="Times New Roman" w:hAnsi="Times New Roman"/>
          <w:sz w:val="24"/>
          <w:lang w:val="en-US"/>
        </w:rPr>
        <w:t xml:space="preserve">Huber, G. (1992). </w:t>
      </w:r>
      <w:r w:rsidRPr="00175D33">
        <w:rPr>
          <w:rFonts w:ascii="Times New Roman" w:hAnsi="Times New Roman"/>
          <w:i/>
          <w:sz w:val="24"/>
          <w:lang w:val="en-US"/>
        </w:rPr>
        <w:t>Qualitative Analyse: Coputereinsatz in der Sozialoforschung.</w:t>
      </w:r>
      <w:r w:rsidRPr="00175D33">
        <w:rPr>
          <w:rFonts w:ascii="Times New Roman" w:hAnsi="Times New Roman"/>
          <w:sz w:val="24"/>
          <w:lang w:val="en-US"/>
        </w:rPr>
        <w:t xml:space="preserve"> </w:t>
      </w:r>
      <w:r w:rsidRPr="00175D33">
        <w:rPr>
          <w:rFonts w:ascii="Times New Roman" w:hAnsi="Times New Roman"/>
          <w:sz w:val="24"/>
        </w:rPr>
        <w:t xml:space="preserve">Munich: R. Oldenbourg Verlag.      </w:t>
      </w:r>
    </w:p>
    <w:p w14:paraId="773DE28B" w14:textId="77777777" w:rsidR="006522F8" w:rsidRPr="006522F8" w:rsidRDefault="006522F8" w:rsidP="006522F8">
      <w:pPr>
        <w:ind w:left="567" w:hanging="567"/>
        <w:rPr>
          <w:rFonts w:ascii="Times New Roman" w:hAnsi="Times New Roman"/>
          <w:sz w:val="24"/>
        </w:rPr>
      </w:pPr>
      <w:r w:rsidRPr="006522F8">
        <w:rPr>
          <w:rFonts w:ascii="Times New Roman" w:hAnsi="Times New Roman"/>
          <w:sz w:val="24"/>
        </w:rPr>
        <w:t xml:space="preserve">López, M.A., y Crisol, E. (2012). Las guías de aprendizaje autónomo como herramienta didáctica de apoyo a la docencia. </w:t>
      </w:r>
      <w:r w:rsidRPr="006522F8">
        <w:rPr>
          <w:rFonts w:ascii="Times New Roman" w:hAnsi="Times New Roman"/>
          <w:i/>
          <w:sz w:val="24"/>
        </w:rPr>
        <w:t>Escuela Abierta</w:t>
      </w:r>
      <w:r w:rsidRPr="006522F8">
        <w:rPr>
          <w:rFonts w:ascii="Times New Roman" w:hAnsi="Times New Roman"/>
          <w:sz w:val="24"/>
        </w:rPr>
        <w:t xml:space="preserve">, </w:t>
      </w:r>
      <w:r w:rsidRPr="006522F8">
        <w:rPr>
          <w:rFonts w:ascii="Times New Roman" w:hAnsi="Times New Roman"/>
          <w:i/>
          <w:sz w:val="24"/>
        </w:rPr>
        <w:t xml:space="preserve">15, </w:t>
      </w:r>
      <w:r w:rsidRPr="006522F8">
        <w:rPr>
          <w:rFonts w:ascii="Times New Roman" w:hAnsi="Times New Roman"/>
          <w:sz w:val="24"/>
        </w:rPr>
        <w:t>9-31.</w:t>
      </w:r>
    </w:p>
    <w:p w14:paraId="64352A81" w14:textId="77777777" w:rsidR="006522F8" w:rsidRPr="006522F8" w:rsidRDefault="006522F8" w:rsidP="006522F8">
      <w:pPr>
        <w:ind w:left="567" w:hanging="567"/>
        <w:rPr>
          <w:rFonts w:ascii="Times New Roman" w:hAnsi="Times New Roman"/>
          <w:sz w:val="24"/>
        </w:rPr>
      </w:pPr>
      <w:r w:rsidRPr="006522F8">
        <w:rPr>
          <w:rFonts w:ascii="Times New Roman" w:hAnsi="Times New Roman"/>
          <w:sz w:val="24"/>
        </w:rPr>
        <w:t xml:space="preserve">Marcelo, C., Yot, C., Mayor, C., Sánchez, M., Murillo, P., Rodríguez, J. M., y Pardo, A. (2014). Las actividades de aprendizaje en la enseñanza universitaria: ¿hacia un aprendizaje autónomo de los alumnos? </w:t>
      </w:r>
      <w:r w:rsidRPr="006522F8">
        <w:rPr>
          <w:rFonts w:ascii="Times New Roman" w:hAnsi="Times New Roman"/>
          <w:i/>
          <w:sz w:val="24"/>
        </w:rPr>
        <w:t>Revista de Educación, 363</w:t>
      </w:r>
      <w:r w:rsidRPr="006522F8">
        <w:rPr>
          <w:rFonts w:ascii="Times New Roman" w:hAnsi="Times New Roman"/>
          <w:sz w:val="24"/>
        </w:rPr>
        <w:t>, 34-359.</w:t>
      </w:r>
    </w:p>
    <w:p w14:paraId="49279C9D" w14:textId="0283542D" w:rsidR="00B3468F" w:rsidRPr="00175D33" w:rsidRDefault="00B3468F" w:rsidP="00855BDD">
      <w:pPr>
        <w:ind w:left="567" w:hanging="567"/>
        <w:rPr>
          <w:rFonts w:ascii="Times New Roman" w:hAnsi="Times New Roman"/>
          <w:sz w:val="24"/>
          <w:lang w:val="es-ES_tradnl"/>
        </w:rPr>
      </w:pPr>
      <w:r w:rsidRPr="00175D33">
        <w:rPr>
          <w:rFonts w:ascii="Times New Roman" w:hAnsi="Times New Roman"/>
          <w:sz w:val="24"/>
        </w:rPr>
        <w:t xml:space="preserve">McMillan, E., y Schumacher, S. (2005). </w:t>
      </w:r>
      <w:r w:rsidRPr="00175D33">
        <w:rPr>
          <w:rFonts w:ascii="Times New Roman" w:hAnsi="Times New Roman"/>
          <w:i/>
          <w:sz w:val="24"/>
          <w:lang w:val="es-ES_tradnl"/>
        </w:rPr>
        <w:t>Investigación Educativa</w:t>
      </w:r>
      <w:r w:rsidRPr="00175D33">
        <w:rPr>
          <w:rFonts w:ascii="Times New Roman" w:hAnsi="Times New Roman"/>
          <w:sz w:val="24"/>
          <w:lang w:val="es-ES_tradnl"/>
        </w:rPr>
        <w:t>. Madrid: Pearson (5ª Edición).</w:t>
      </w:r>
    </w:p>
    <w:p w14:paraId="0FB014E5" w14:textId="5E6F7D31" w:rsidR="00B3468F" w:rsidRPr="00175D33" w:rsidRDefault="00B3468F" w:rsidP="00855BDD">
      <w:pPr>
        <w:ind w:left="567" w:hanging="567"/>
        <w:rPr>
          <w:rFonts w:ascii="Times New Roman" w:hAnsi="Times New Roman"/>
          <w:sz w:val="24"/>
        </w:rPr>
      </w:pPr>
      <w:r w:rsidRPr="00175D33">
        <w:rPr>
          <w:rFonts w:ascii="Times New Roman" w:hAnsi="Times New Roman"/>
          <w:sz w:val="24"/>
        </w:rPr>
        <w:t xml:space="preserve">Miles, M. B., y Huberman, A. M. (1994). </w:t>
      </w:r>
      <w:r w:rsidRPr="00175D33">
        <w:rPr>
          <w:rFonts w:ascii="Times New Roman" w:hAnsi="Times New Roman"/>
          <w:i/>
          <w:sz w:val="24"/>
          <w:lang w:val="en-US"/>
        </w:rPr>
        <w:t>Qualitative data analysis: an expanded sourcebook</w:t>
      </w:r>
      <w:r w:rsidRPr="00175D33">
        <w:rPr>
          <w:rFonts w:ascii="Times New Roman" w:hAnsi="Times New Roman"/>
          <w:sz w:val="24"/>
          <w:lang w:val="en-US"/>
        </w:rPr>
        <w:t xml:space="preserve">. </w:t>
      </w:r>
      <w:r w:rsidRPr="00175D33">
        <w:rPr>
          <w:rFonts w:ascii="Times New Roman" w:hAnsi="Times New Roman"/>
          <w:sz w:val="24"/>
        </w:rPr>
        <w:t>Thousand Oaks: Sage.</w:t>
      </w:r>
    </w:p>
    <w:p w14:paraId="76229757" w14:textId="137D0641" w:rsidR="00172F90" w:rsidRPr="00FB0642" w:rsidRDefault="00172F90" w:rsidP="00855BDD">
      <w:pPr>
        <w:ind w:left="567" w:hanging="567"/>
        <w:rPr>
          <w:rFonts w:ascii="Times New Roman" w:hAnsi="Times New Roman"/>
          <w:sz w:val="24"/>
        </w:rPr>
      </w:pPr>
      <w:r w:rsidRPr="00175D33">
        <w:rPr>
          <w:rFonts w:ascii="Times New Roman" w:hAnsi="Times New Roman"/>
          <w:sz w:val="24"/>
        </w:rPr>
        <w:t xml:space="preserve">Morón, J.A., y Pedrero, E. (2012). Orientando el proceso de enseñanza-aprendizaje en la asignatura de educación para la salud: la guía docente en el Espacio Europeo de </w:t>
      </w:r>
      <w:r w:rsidRPr="00FB0642">
        <w:rPr>
          <w:rFonts w:ascii="Times New Roman" w:hAnsi="Times New Roman"/>
          <w:sz w:val="24"/>
        </w:rPr>
        <w:t xml:space="preserve">Educación Superior. </w:t>
      </w:r>
      <w:r w:rsidRPr="00FB0642">
        <w:rPr>
          <w:rFonts w:ascii="Times New Roman" w:hAnsi="Times New Roman"/>
          <w:i/>
          <w:sz w:val="24"/>
        </w:rPr>
        <w:t xml:space="preserve">Revista UPO Innova, I, </w:t>
      </w:r>
      <w:r w:rsidRPr="00FB0642">
        <w:rPr>
          <w:rFonts w:ascii="Times New Roman" w:hAnsi="Times New Roman"/>
          <w:sz w:val="24"/>
        </w:rPr>
        <w:t>375-390.</w:t>
      </w:r>
    </w:p>
    <w:p w14:paraId="711E5135" w14:textId="2FDE4F8E" w:rsidR="00B3468F" w:rsidRPr="00FB0642" w:rsidRDefault="00B3468F" w:rsidP="00855BDD">
      <w:pPr>
        <w:ind w:left="567" w:hanging="567"/>
        <w:rPr>
          <w:rFonts w:ascii="Times New Roman" w:hAnsi="Times New Roman"/>
          <w:sz w:val="24"/>
        </w:rPr>
      </w:pPr>
      <w:r w:rsidRPr="00FB0642">
        <w:rPr>
          <w:rFonts w:ascii="Times New Roman" w:hAnsi="Times New Roman"/>
          <w:sz w:val="24"/>
        </w:rPr>
        <w:t>Real Decreto 1393/2007, de 29 de octubre, por el que se establece la ordenación de las enseñanzas universitarias oficiales.</w:t>
      </w:r>
    </w:p>
    <w:p w14:paraId="7E9EC0CA" w14:textId="566CCA18" w:rsidR="00CB7B3D" w:rsidRPr="00FB0642" w:rsidRDefault="00CB7B3D" w:rsidP="00CB7B3D">
      <w:pPr>
        <w:ind w:left="567" w:hanging="567"/>
        <w:rPr>
          <w:rFonts w:ascii="Times New Roman" w:hAnsi="Times New Roman"/>
          <w:sz w:val="24"/>
          <w:lang w:val="en-US"/>
        </w:rPr>
      </w:pPr>
      <w:r w:rsidRPr="00FB0642">
        <w:rPr>
          <w:rFonts w:ascii="Times New Roman" w:hAnsi="Times New Roman"/>
          <w:sz w:val="24"/>
          <w:lang w:val="en-US"/>
        </w:rPr>
        <w:t>Rogers, G., y Bouey, E. (200</w:t>
      </w:r>
      <w:r w:rsidR="00535C26">
        <w:rPr>
          <w:rFonts w:ascii="Times New Roman" w:hAnsi="Times New Roman"/>
          <w:sz w:val="24"/>
          <w:lang w:val="en-US"/>
        </w:rPr>
        <w:t>5). Participant observation. En</w:t>
      </w:r>
      <w:r w:rsidRPr="00FB0642">
        <w:rPr>
          <w:rFonts w:ascii="Times New Roman" w:hAnsi="Times New Roman"/>
          <w:sz w:val="24"/>
          <w:lang w:val="en-US"/>
        </w:rPr>
        <w:t xml:space="preserve"> </w:t>
      </w:r>
      <w:r w:rsidR="00535C26">
        <w:rPr>
          <w:rFonts w:ascii="Times New Roman" w:hAnsi="Times New Roman"/>
          <w:sz w:val="24"/>
          <w:lang w:val="en-US"/>
        </w:rPr>
        <w:t xml:space="preserve">R.M. </w:t>
      </w:r>
      <w:r w:rsidRPr="00FB0642">
        <w:rPr>
          <w:rFonts w:ascii="Times New Roman" w:hAnsi="Times New Roman"/>
          <w:sz w:val="24"/>
          <w:lang w:val="en-US"/>
        </w:rPr>
        <w:t xml:space="preserve">Grinnell, y </w:t>
      </w:r>
      <w:r w:rsidR="00535C26">
        <w:rPr>
          <w:rFonts w:ascii="Times New Roman" w:hAnsi="Times New Roman"/>
          <w:sz w:val="24"/>
          <w:lang w:val="en-US"/>
        </w:rPr>
        <w:t>Y.A. Unrau</w:t>
      </w:r>
      <w:r w:rsidRPr="00FB0642">
        <w:rPr>
          <w:rFonts w:ascii="Times New Roman" w:hAnsi="Times New Roman"/>
          <w:sz w:val="24"/>
          <w:lang w:val="en-US"/>
        </w:rPr>
        <w:t xml:space="preserve"> (</w:t>
      </w:r>
      <w:proofErr w:type="gramStart"/>
      <w:r w:rsidRPr="00FB0642">
        <w:rPr>
          <w:rFonts w:ascii="Times New Roman" w:hAnsi="Times New Roman"/>
          <w:sz w:val="24"/>
          <w:lang w:val="en-US"/>
        </w:rPr>
        <w:t>eds</w:t>
      </w:r>
      <w:proofErr w:type="gramEnd"/>
      <w:r w:rsidRPr="00FB0642">
        <w:rPr>
          <w:rFonts w:ascii="Times New Roman" w:hAnsi="Times New Roman"/>
          <w:sz w:val="24"/>
          <w:lang w:val="en-US"/>
        </w:rPr>
        <w:t xml:space="preserve">), </w:t>
      </w:r>
      <w:r w:rsidRPr="00FB0642">
        <w:rPr>
          <w:rFonts w:ascii="Times New Roman" w:hAnsi="Times New Roman"/>
          <w:i/>
          <w:sz w:val="24"/>
          <w:lang w:val="en-US"/>
        </w:rPr>
        <w:t>Social Work: Research and evaluation. Quantitative and qualitative approaches</w:t>
      </w:r>
      <w:r w:rsidRPr="00FB0642">
        <w:rPr>
          <w:rFonts w:ascii="Times New Roman" w:hAnsi="Times New Roman"/>
          <w:sz w:val="24"/>
          <w:lang w:val="en-US"/>
        </w:rPr>
        <w:t>. Nueva York: Oxford University Press.</w:t>
      </w:r>
    </w:p>
    <w:p w14:paraId="03D0A2CE" w14:textId="44031EBB" w:rsidR="00172F90" w:rsidRPr="00FB0642" w:rsidRDefault="00172F90" w:rsidP="00855BDD">
      <w:pPr>
        <w:ind w:left="567" w:hanging="567"/>
        <w:rPr>
          <w:rFonts w:ascii="Times New Roman" w:hAnsi="Times New Roman"/>
          <w:sz w:val="24"/>
        </w:rPr>
      </w:pPr>
      <w:r w:rsidRPr="00FB0642">
        <w:rPr>
          <w:rFonts w:ascii="Times New Roman" w:hAnsi="Times New Roman"/>
          <w:sz w:val="24"/>
          <w:lang w:val="en-US"/>
        </w:rPr>
        <w:t xml:space="preserve">Salinas, B., y Cotillas, C. (2005). </w:t>
      </w:r>
      <w:r w:rsidRPr="00FB0642">
        <w:rPr>
          <w:rFonts w:ascii="Times New Roman" w:hAnsi="Times New Roman"/>
          <w:i/>
          <w:iCs/>
          <w:sz w:val="24"/>
        </w:rPr>
        <w:t>Elaboración de la Guía Docen</w:t>
      </w:r>
      <w:r w:rsidR="00535C26">
        <w:rPr>
          <w:rFonts w:ascii="Times New Roman" w:hAnsi="Times New Roman"/>
          <w:i/>
          <w:iCs/>
          <w:sz w:val="24"/>
        </w:rPr>
        <w:t>te para la Convergencia Europea.</w:t>
      </w:r>
      <w:r w:rsidRPr="00FB0642">
        <w:rPr>
          <w:rFonts w:ascii="Times New Roman" w:hAnsi="Times New Roman"/>
          <w:i/>
          <w:iCs/>
          <w:sz w:val="24"/>
        </w:rPr>
        <w:t xml:space="preserve"> </w:t>
      </w:r>
      <w:r w:rsidRPr="00FB0642">
        <w:rPr>
          <w:rFonts w:ascii="Times New Roman" w:hAnsi="Times New Roman"/>
          <w:sz w:val="24"/>
        </w:rPr>
        <w:t>Valencia: Servei de Formació Permanent de la Universitat de València.</w:t>
      </w:r>
    </w:p>
    <w:p w14:paraId="68404CED" w14:textId="40F39CC8" w:rsidR="00004156" w:rsidRPr="00FB0642" w:rsidRDefault="00004156" w:rsidP="00855BDD">
      <w:pPr>
        <w:ind w:left="567" w:hanging="567"/>
        <w:rPr>
          <w:rFonts w:ascii="Times New Roman" w:hAnsi="Times New Roman"/>
          <w:sz w:val="24"/>
        </w:rPr>
      </w:pPr>
      <w:r w:rsidRPr="00FB0642">
        <w:rPr>
          <w:rFonts w:ascii="Times New Roman" w:hAnsi="Times New Roman"/>
          <w:sz w:val="24"/>
        </w:rPr>
        <w:t xml:space="preserve">Sánchez, M., Ruiz, C., y Pascual (2001). La guía docente como eje del proceso de enseñanza aprendizaje. </w:t>
      </w:r>
      <w:r w:rsidRPr="00FB0642">
        <w:rPr>
          <w:rFonts w:ascii="Times New Roman" w:hAnsi="Times New Roman"/>
          <w:i/>
          <w:sz w:val="24"/>
        </w:rPr>
        <w:t>Bordón</w:t>
      </w:r>
      <w:r w:rsidR="005070E6" w:rsidRPr="00FB0642">
        <w:rPr>
          <w:rFonts w:ascii="Times New Roman" w:hAnsi="Times New Roman"/>
          <w:sz w:val="24"/>
        </w:rPr>
        <w:t xml:space="preserve">, </w:t>
      </w:r>
      <w:r w:rsidR="005070E6" w:rsidRPr="00FB0642">
        <w:rPr>
          <w:rFonts w:ascii="Times New Roman" w:hAnsi="Times New Roman"/>
          <w:i/>
          <w:sz w:val="24"/>
        </w:rPr>
        <w:t>63</w:t>
      </w:r>
      <w:r w:rsidRPr="00FB0642">
        <w:rPr>
          <w:rFonts w:ascii="Times New Roman" w:hAnsi="Times New Roman"/>
          <w:sz w:val="24"/>
        </w:rPr>
        <w:t xml:space="preserve"> </w:t>
      </w:r>
      <w:r w:rsidR="005070E6" w:rsidRPr="00FB0642">
        <w:rPr>
          <w:rFonts w:ascii="Times New Roman" w:hAnsi="Times New Roman"/>
          <w:sz w:val="24"/>
        </w:rPr>
        <w:t>(</w:t>
      </w:r>
      <w:r w:rsidRPr="00FB0642">
        <w:rPr>
          <w:rFonts w:ascii="Times New Roman" w:hAnsi="Times New Roman"/>
          <w:sz w:val="24"/>
        </w:rPr>
        <w:t>2</w:t>
      </w:r>
      <w:r w:rsidR="005070E6" w:rsidRPr="00FB0642">
        <w:rPr>
          <w:rFonts w:ascii="Times New Roman" w:hAnsi="Times New Roman"/>
          <w:sz w:val="24"/>
        </w:rPr>
        <w:t>)</w:t>
      </w:r>
      <w:r w:rsidRPr="00FB0642">
        <w:rPr>
          <w:rFonts w:ascii="Times New Roman" w:hAnsi="Times New Roman"/>
          <w:sz w:val="24"/>
        </w:rPr>
        <w:t>, 53-64.</w:t>
      </w:r>
    </w:p>
    <w:p w14:paraId="331E4B0D" w14:textId="58FE1CF0" w:rsidR="00B3468F" w:rsidRDefault="00B3468F" w:rsidP="00855BDD">
      <w:pPr>
        <w:ind w:left="567" w:hanging="567"/>
        <w:rPr>
          <w:rFonts w:ascii="Times New Roman" w:hAnsi="Times New Roman"/>
          <w:sz w:val="24"/>
        </w:rPr>
      </w:pPr>
      <w:r w:rsidRPr="00175D33">
        <w:rPr>
          <w:rFonts w:ascii="Times New Roman" w:hAnsi="Times New Roman"/>
          <w:sz w:val="24"/>
        </w:rPr>
        <w:lastRenderedPageBreak/>
        <w:t xml:space="preserve">Strauss, A., y Corbin, J. (2002). </w:t>
      </w:r>
      <w:r w:rsidRPr="00175D33">
        <w:rPr>
          <w:rFonts w:ascii="Times New Roman" w:hAnsi="Times New Roman"/>
          <w:i/>
          <w:sz w:val="24"/>
        </w:rPr>
        <w:t>Bases de la investigación</w:t>
      </w:r>
      <w:r w:rsidRPr="00E3486E">
        <w:rPr>
          <w:rFonts w:ascii="Times New Roman" w:hAnsi="Times New Roman"/>
          <w:i/>
          <w:sz w:val="24"/>
        </w:rPr>
        <w:t xml:space="preserve"> cualitativa. Técnicas y procedimientos para desarrollar la teoría fundamentada</w:t>
      </w:r>
      <w:r w:rsidRPr="00E3486E">
        <w:rPr>
          <w:rFonts w:ascii="Times New Roman" w:hAnsi="Times New Roman"/>
          <w:sz w:val="24"/>
        </w:rPr>
        <w:t xml:space="preserve">. </w:t>
      </w:r>
      <w:r>
        <w:rPr>
          <w:rFonts w:ascii="Times New Roman" w:hAnsi="Times New Roman"/>
          <w:sz w:val="24"/>
        </w:rPr>
        <w:t xml:space="preserve">Colombia: </w:t>
      </w:r>
      <w:r w:rsidRPr="00E3486E">
        <w:rPr>
          <w:rFonts w:ascii="Times New Roman" w:hAnsi="Times New Roman"/>
          <w:sz w:val="24"/>
        </w:rPr>
        <w:t>Universidad de Antioquía.</w:t>
      </w:r>
    </w:p>
    <w:p w14:paraId="27A8F71C" w14:textId="0CEC6006" w:rsidR="00B3468F" w:rsidRDefault="00B3468F" w:rsidP="00855BDD">
      <w:pPr>
        <w:ind w:left="567" w:hanging="567"/>
        <w:rPr>
          <w:rFonts w:ascii="Times New Roman" w:hAnsi="Times New Roman"/>
          <w:sz w:val="24"/>
        </w:rPr>
      </w:pPr>
      <w:r w:rsidRPr="00B3468F">
        <w:rPr>
          <w:rFonts w:ascii="Times New Roman" w:hAnsi="Times New Roman"/>
          <w:sz w:val="24"/>
        </w:rPr>
        <w:t xml:space="preserve">Suárez, M. (2005). </w:t>
      </w:r>
      <w:r w:rsidRPr="00B3468F">
        <w:rPr>
          <w:rFonts w:ascii="Times New Roman" w:hAnsi="Times New Roman"/>
          <w:i/>
          <w:sz w:val="24"/>
        </w:rPr>
        <w:t>El grupo de discusión. Una herramienta para la investigación cualitativa</w:t>
      </w:r>
      <w:r w:rsidRPr="00B3468F">
        <w:rPr>
          <w:rFonts w:ascii="Times New Roman" w:hAnsi="Times New Roman"/>
          <w:sz w:val="24"/>
        </w:rPr>
        <w:t>. Barcelona: Laertes</w:t>
      </w:r>
    </w:p>
    <w:p w14:paraId="2C3201AC" w14:textId="26003636" w:rsidR="00B3468F" w:rsidRPr="00AC063B" w:rsidRDefault="00B3468F" w:rsidP="00855BDD">
      <w:pPr>
        <w:ind w:left="567" w:hanging="567"/>
        <w:rPr>
          <w:rFonts w:ascii="Times New Roman" w:hAnsi="Times New Roman"/>
          <w:sz w:val="24"/>
        </w:rPr>
      </w:pPr>
      <w:r w:rsidRPr="00AC063B">
        <w:rPr>
          <w:rFonts w:ascii="Times New Roman" w:hAnsi="Times New Roman"/>
          <w:sz w:val="24"/>
        </w:rPr>
        <w:t>Yániz, C</w:t>
      </w:r>
      <w:r>
        <w:rPr>
          <w:rFonts w:ascii="Times New Roman" w:hAnsi="Times New Roman"/>
          <w:sz w:val="24"/>
        </w:rPr>
        <w:t>.,</w:t>
      </w:r>
      <w:r w:rsidRPr="00AC063B">
        <w:rPr>
          <w:rFonts w:ascii="Times New Roman" w:hAnsi="Times New Roman"/>
          <w:sz w:val="24"/>
        </w:rPr>
        <w:t xml:space="preserve"> y Villardón, L. (2006). </w:t>
      </w:r>
      <w:r w:rsidRPr="00AC063B">
        <w:rPr>
          <w:rFonts w:ascii="Times New Roman" w:hAnsi="Times New Roman"/>
          <w:i/>
          <w:sz w:val="24"/>
        </w:rPr>
        <w:t>Planificar desde competencias para promover el aprendizaje</w:t>
      </w:r>
      <w:r w:rsidRPr="00AC063B">
        <w:rPr>
          <w:rFonts w:ascii="Times New Roman" w:hAnsi="Times New Roman"/>
          <w:sz w:val="24"/>
        </w:rPr>
        <w:t>. Bilbao: Universidad de Deusto.</w:t>
      </w:r>
    </w:p>
    <w:p w14:paraId="1576F60F" w14:textId="77777777" w:rsidR="00B3468F" w:rsidRPr="00AC063B" w:rsidRDefault="00B3468F" w:rsidP="00855BDD">
      <w:pPr>
        <w:ind w:left="567" w:hanging="567"/>
        <w:rPr>
          <w:rFonts w:ascii="Times New Roman" w:hAnsi="Times New Roman"/>
          <w:sz w:val="24"/>
        </w:rPr>
      </w:pPr>
      <w:r w:rsidRPr="00AC063B">
        <w:rPr>
          <w:rFonts w:ascii="Times New Roman" w:hAnsi="Times New Roman"/>
          <w:sz w:val="24"/>
        </w:rPr>
        <w:t xml:space="preserve">Yaniz, C. (2006). Planificar la enseñanza universitaria para el desarrollo de competencias. </w:t>
      </w:r>
      <w:r w:rsidRPr="00AC063B">
        <w:rPr>
          <w:rFonts w:ascii="Times New Roman" w:hAnsi="Times New Roman"/>
          <w:i/>
          <w:sz w:val="24"/>
        </w:rPr>
        <w:t>Educatio Siglo XXI</w:t>
      </w:r>
      <w:r w:rsidRPr="00AC063B">
        <w:rPr>
          <w:rFonts w:ascii="Times New Roman" w:hAnsi="Times New Roman"/>
          <w:sz w:val="24"/>
        </w:rPr>
        <w:t xml:space="preserve">, </w:t>
      </w:r>
      <w:r w:rsidRPr="00B3468F">
        <w:rPr>
          <w:rFonts w:ascii="Times New Roman" w:hAnsi="Times New Roman"/>
          <w:i/>
          <w:sz w:val="24"/>
        </w:rPr>
        <w:t>24</w:t>
      </w:r>
      <w:r w:rsidRPr="00AC063B">
        <w:rPr>
          <w:rFonts w:ascii="Times New Roman" w:hAnsi="Times New Roman"/>
          <w:sz w:val="24"/>
        </w:rPr>
        <w:t>, 17 - 34</w:t>
      </w:r>
    </w:p>
    <w:p w14:paraId="0FCA575F" w14:textId="602B794F" w:rsidR="00B3468F" w:rsidRPr="00AC063B" w:rsidRDefault="00B3468F" w:rsidP="00855BDD">
      <w:pPr>
        <w:ind w:left="567" w:hanging="567"/>
        <w:rPr>
          <w:rFonts w:ascii="Times New Roman" w:hAnsi="Times New Roman"/>
          <w:sz w:val="24"/>
        </w:rPr>
      </w:pPr>
      <w:r w:rsidRPr="00AC063B">
        <w:rPr>
          <w:rFonts w:ascii="Times New Roman" w:hAnsi="Times New Roman"/>
          <w:sz w:val="24"/>
        </w:rPr>
        <w:t xml:space="preserve">Zabalza, M. A. (2003). </w:t>
      </w:r>
      <w:r w:rsidRPr="00AC063B">
        <w:rPr>
          <w:rFonts w:ascii="Times New Roman" w:hAnsi="Times New Roman"/>
          <w:i/>
          <w:sz w:val="24"/>
        </w:rPr>
        <w:t>Competencias docentes del profesorado universitario. Calidad y desarrollo profesional</w:t>
      </w:r>
      <w:r w:rsidRPr="00AC063B">
        <w:rPr>
          <w:rFonts w:ascii="Times New Roman" w:hAnsi="Times New Roman"/>
          <w:sz w:val="24"/>
        </w:rPr>
        <w:t>. Madrid: Narcea.</w:t>
      </w:r>
    </w:p>
    <w:p w14:paraId="3E6EA8CA" w14:textId="77777777" w:rsidR="00F77FFE" w:rsidRPr="00E3486E" w:rsidRDefault="00F77FFE" w:rsidP="00855BDD">
      <w:pPr>
        <w:ind w:firstLine="0"/>
        <w:rPr>
          <w:rFonts w:ascii="Times New Roman" w:hAnsi="Times New Roman"/>
          <w:sz w:val="24"/>
        </w:rPr>
      </w:pPr>
    </w:p>
    <w:p w14:paraId="2C9A6D69" w14:textId="250AB647" w:rsidR="006522F8" w:rsidRPr="006522F8" w:rsidRDefault="006522F8" w:rsidP="006522F8">
      <w:pPr>
        <w:ind w:firstLine="0"/>
        <w:rPr>
          <w:rFonts w:ascii="Times New Roman" w:hAnsi="Times New Roman"/>
          <w:sz w:val="24"/>
        </w:rPr>
      </w:pPr>
    </w:p>
    <w:p w14:paraId="417477BF" w14:textId="77777777" w:rsidR="00F77FFE" w:rsidRDefault="00F77FFE" w:rsidP="00855BDD">
      <w:pPr>
        <w:ind w:firstLine="0"/>
        <w:rPr>
          <w:color w:val="3366FF"/>
          <w:sz w:val="24"/>
        </w:rPr>
      </w:pPr>
    </w:p>
    <w:p w14:paraId="15FC477E" w14:textId="5A195576" w:rsidR="00574E6B" w:rsidRPr="00574E6B" w:rsidRDefault="00574E6B" w:rsidP="00855BDD">
      <w:pPr>
        <w:ind w:firstLine="0"/>
        <w:rPr>
          <w:rFonts w:ascii="Times New Roman" w:hAnsi="Times New Roman"/>
          <w:sz w:val="24"/>
        </w:rPr>
      </w:pPr>
    </w:p>
    <w:p w14:paraId="54E82239" w14:textId="72FB3480" w:rsidR="00B86EA9" w:rsidRPr="00412A91" w:rsidRDefault="00B86EA9" w:rsidP="00855BDD">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1" w:name="OLE_LINK10"/>
      <w:r w:rsidR="0081397B" w:rsidRPr="00412A91">
        <w:rPr>
          <w:rFonts w:ascii="Times New Roman" w:hAnsi="Times New Roman"/>
          <w:szCs w:val="22"/>
        </w:rPr>
        <w:t>(la pone la revista)</w:t>
      </w:r>
      <w:bookmarkEnd w:id="1"/>
      <w:r w:rsidR="00510263" w:rsidRPr="00412A91">
        <w:rPr>
          <w:rFonts w:ascii="Times New Roman" w:hAnsi="Times New Roman"/>
          <w:szCs w:val="22"/>
        </w:rPr>
        <w:t xml:space="preserve"> (11 puntos)</w:t>
      </w:r>
    </w:p>
    <w:p w14:paraId="6875C836" w14:textId="0B0EC14A" w:rsidR="00B86EA9" w:rsidRPr="00412A91" w:rsidRDefault="00B86EA9" w:rsidP="00855BDD">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855BDD">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C71380">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6229" w14:textId="77777777" w:rsidR="00E92558" w:rsidRDefault="00E92558" w:rsidP="00C400A0">
      <w:r>
        <w:separator/>
      </w:r>
    </w:p>
  </w:endnote>
  <w:endnote w:type="continuationSeparator" w:id="0">
    <w:p w14:paraId="645D0557" w14:textId="77777777" w:rsidR="00E92558" w:rsidRDefault="00E92558"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6EECEB7D" w:rsidR="00450E30" w:rsidRPr="00C71380" w:rsidRDefault="00450E30"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44220D">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66750238" w:rsidR="00450E30" w:rsidRPr="00C71380" w:rsidRDefault="00450E3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44220D">
      <w:rPr>
        <w:rStyle w:val="Nmerodepgina"/>
        <w:rFonts w:ascii="Times New Roman" w:hAnsi="Times New Roman"/>
        <w:b/>
        <w:noProof/>
      </w:rPr>
      <w:t>13</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E86FD75681994F2DA30A93541F4A1684"/>
      </w:placeholder>
      <w:temporary/>
      <w:showingPlcHdr/>
    </w:sdtPr>
    <w:sdtEndPr/>
    <w:sdtContent>
      <w:p w14:paraId="28DFA767" w14:textId="77777777" w:rsidR="00F41806" w:rsidRDefault="00F41806">
        <w:pPr>
          <w:pStyle w:val="Piedepgina"/>
        </w:pPr>
        <w:r>
          <w:rPr>
            <w:lang w:val="es-ES"/>
          </w:rPr>
          <w:t>[Escriba texto]</w:t>
        </w:r>
      </w:p>
    </w:sdtContent>
  </w:sdt>
  <w:p w14:paraId="75FE1F1C" w14:textId="61D29ACB" w:rsidR="00450E30" w:rsidRDefault="00450E30" w:rsidP="00C71380">
    <w:pPr>
      <w:autoSpaceDE w:val="0"/>
      <w:autoSpaceDN w:val="0"/>
      <w:adjustRightInd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FB063" w14:textId="77777777" w:rsidR="00E92558" w:rsidRDefault="00E92558" w:rsidP="00C400A0">
      <w:r>
        <w:separator/>
      </w:r>
    </w:p>
  </w:footnote>
  <w:footnote w:type="continuationSeparator" w:id="0">
    <w:p w14:paraId="1175FA4B" w14:textId="77777777" w:rsidR="00E92558" w:rsidRDefault="00E92558" w:rsidP="00C400A0">
      <w:r>
        <w:continuationSeparator/>
      </w:r>
    </w:p>
  </w:footnote>
  <w:footnote w:id="1">
    <w:p w14:paraId="4BB48BEC" w14:textId="3B08A0C2" w:rsidR="008B2C3F" w:rsidRPr="008B2C3F" w:rsidRDefault="008B2C3F" w:rsidP="008B2C3F">
      <w:pPr>
        <w:pStyle w:val="Textonotapie"/>
        <w:rPr>
          <w:lang w:val="es-ES"/>
        </w:rPr>
      </w:pPr>
      <w:r>
        <w:rPr>
          <w:rStyle w:val="Refdenotaalpie"/>
        </w:rPr>
        <w:footnoteRef/>
      </w:r>
      <w:r>
        <w:t xml:space="preserve"> </w:t>
      </w:r>
      <w:r w:rsidRPr="008B2C3F">
        <w:rPr>
          <w:rFonts w:ascii="Times New Roman" w:hAnsi="Times New Roman"/>
          <w:sz w:val="18"/>
          <w:szCs w:val="18"/>
          <w:lang w:val="es-ES"/>
        </w:rPr>
        <w:t>Este artículo deriva de un</w:t>
      </w:r>
      <w:r w:rsidRPr="008B2C3F">
        <w:rPr>
          <w:rFonts w:ascii="Times New Roman" w:hAnsi="Times New Roman"/>
          <w:sz w:val="18"/>
          <w:szCs w:val="18"/>
        </w:rPr>
        <w:t xml:space="preserve"> proyecto financiado por la Universidad de La Laguna (Convocatoria de Proyectos de Innovación Educativa, Vicerrectorado de Docencia, curso 2016/2017).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450E30" w:rsidRPr="00412A91" w:rsidRDefault="00450E30"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450E30" w:rsidRPr="00195D26" w:rsidRDefault="00450E30" w:rsidP="00C71380">
    <w:pPr>
      <w:pStyle w:val="Encabezado"/>
      <w:pBdr>
        <w:bottom w:val="single" w:sz="4" w:space="1" w:color="auto"/>
      </w:pBdr>
      <w:jc w:val="right"/>
      <w:rPr>
        <w:rFonts w:ascii="Times New Roman" w:hAnsi="Times New Roman"/>
        <w:i/>
        <w:caps/>
        <w:color w:val="FF0000"/>
        <w:sz w:val="18"/>
        <w:szCs w:val="18"/>
      </w:rPr>
    </w:pPr>
    <w:r w:rsidRPr="00195D26">
      <w:rPr>
        <w:rFonts w:ascii="Times New Roman" w:hAnsi="Times New Roman"/>
        <w:i/>
        <w:color w:val="FF0000"/>
        <w:sz w:val="18"/>
        <w:szCs w:val="18"/>
        <w:highlight w:val="yellow"/>
      </w:rPr>
      <w:t>Título del artículo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450E30" w:rsidRPr="00D42192" w:rsidRDefault="00450E3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0CE4350D"/>
    <w:multiLevelType w:val="hybridMultilevel"/>
    <w:tmpl w:val="04B631F8"/>
    <w:lvl w:ilvl="0" w:tplc="0E785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0442C2"/>
    <w:multiLevelType w:val="hybridMultilevel"/>
    <w:tmpl w:val="8FE00766"/>
    <w:lvl w:ilvl="0" w:tplc="F4505B46">
      <w:start w:val="1"/>
      <w:numFmt w:val="decimal"/>
      <w:lvlText w:val="%1."/>
      <w:lvlJc w:val="left"/>
      <w:pPr>
        <w:ind w:left="2123" w:hanging="705"/>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13F25B5A"/>
    <w:multiLevelType w:val="hybridMultilevel"/>
    <w:tmpl w:val="B478CD14"/>
    <w:lvl w:ilvl="0" w:tplc="57F4B85C">
      <w:start w:val="1"/>
      <w:numFmt w:val="decimal"/>
      <w:lvlText w:val="%1."/>
      <w:lvlJc w:val="left"/>
      <w:pPr>
        <w:ind w:left="1774" w:hanging="705"/>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D174A8"/>
    <w:multiLevelType w:val="hybridMultilevel"/>
    <w:tmpl w:val="4CA018B2"/>
    <w:lvl w:ilvl="0" w:tplc="9114227E">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2CB56385"/>
    <w:multiLevelType w:val="hybridMultilevel"/>
    <w:tmpl w:val="1D4EA7AA"/>
    <w:lvl w:ilvl="0" w:tplc="F4505B46">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5F2126A"/>
    <w:multiLevelType w:val="hybridMultilevel"/>
    <w:tmpl w:val="6BF885EA"/>
    <w:lvl w:ilvl="0" w:tplc="E9A86934">
      <w:start w:val="2"/>
      <w:numFmt w:val="bullet"/>
      <w:lvlText w:val="-"/>
      <w:lvlJc w:val="left"/>
      <w:pPr>
        <w:ind w:left="1534" w:hanging="82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5"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6" w15:restartNumberingAfterBreak="0">
    <w:nsid w:val="4FF81523"/>
    <w:multiLevelType w:val="hybridMultilevel"/>
    <w:tmpl w:val="F20EBC9C"/>
    <w:lvl w:ilvl="0" w:tplc="F4505B46">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54033195"/>
    <w:multiLevelType w:val="hybridMultilevel"/>
    <w:tmpl w:val="C59CA1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30226E"/>
    <w:multiLevelType w:val="hybridMultilevel"/>
    <w:tmpl w:val="DEE8E374"/>
    <w:lvl w:ilvl="0" w:tplc="2DA466B0">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2" w15:restartNumberingAfterBreak="0">
    <w:nsid w:val="69551FC9"/>
    <w:multiLevelType w:val="hybridMultilevel"/>
    <w:tmpl w:val="C254ACE8"/>
    <w:lvl w:ilvl="0" w:tplc="911422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87B661B"/>
    <w:multiLevelType w:val="hybridMultilevel"/>
    <w:tmpl w:val="24FC5874"/>
    <w:lvl w:ilvl="0" w:tplc="57F4B85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1"/>
  </w:num>
  <w:num w:numId="3">
    <w:abstractNumId w:val="4"/>
  </w:num>
  <w:num w:numId="4">
    <w:abstractNumId w:val="15"/>
  </w:num>
  <w:num w:numId="5">
    <w:abstractNumId w:val="14"/>
  </w:num>
  <w:num w:numId="6">
    <w:abstractNumId w:val="3"/>
  </w:num>
  <w:num w:numId="7">
    <w:abstractNumId w:val="0"/>
  </w:num>
  <w:num w:numId="8">
    <w:abstractNumId w:val="12"/>
  </w:num>
  <w:num w:numId="9">
    <w:abstractNumId w:val="2"/>
  </w:num>
  <w:num w:numId="10">
    <w:abstractNumId w:val="8"/>
  </w:num>
  <w:num w:numId="11">
    <w:abstractNumId w:val="11"/>
  </w:num>
  <w:num w:numId="12">
    <w:abstractNumId w:val="19"/>
  </w:num>
  <w:num w:numId="13">
    <w:abstractNumId w:val="21"/>
  </w:num>
  <w:num w:numId="14">
    <w:abstractNumId w:val="23"/>
  </w:num>
  <w:num w:numId="15">
    <w:abstractNumId w:val="5"/>
  </w:num>
  <w:num w:numId="16">
    <w:abstractNumId w:val="22"/>
  </w:num>
  <w:num w:numId="17">
    <w:abstractNumId w:val="17"/>
  </w:num>
  <w:num w:numId="18">
    <w:abstractNumId w:val="24"/>
  </w:num>
  <w:num w:numId="19">
    <w:abstractNumId w:val="9"/>
  </w:num>
  <w:num w:numId="20">
    <w:abstractNumId w:val="13"/>
  </w:num>
  <w:num w:numId="21">
    <w:abstractNumId w:val="7"/>
  </w:num>
  <w:num w:numId="22">
    <w:abstractNumId w:val="16"/>
  </w:num>
  <w:num w:numId="23">
    <w:abstractNumId w:val="6"/>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4156"/>
    <w:rsid w:val="00004D67"/>
    <w:rsid w:val="00005B86"/>
    <w:rsid w:val="00010971"/>
    <w:rsid w:val="0001125E"/>
    <w:rsid w:val="0001160B"/>
    <w:rsid w:val="000161C1"/>
    <w:rsid w:val="0001643F"/>
    <w:rsid w:val="00022F86"/>
    <w:rsid w:val="0002584E"/>
    <w:rsid w:val="00030F63"/>
    <w:rsid w:val="000317CA"/>
    <w:rsid w:val="00032A39"/>
    <w:rsid w:val="00034244"/>
    <w:rsid w:val="0003589F"/>
    <w:rsid w:val="000359D2"/>
    <w:rsid w:val="00036D96"/>
    <w:rsid w:val="00036EFB"/>
    <w:rsid w:val="000428D8"/>
    <w:rsid w:val="000459A0"/>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77BAD"/>
    <w:rsid w:val="0008068C"/>
    <w:rsid w:val="00080A6A"/>
    <w:rsid w:val="00084A3C"/>
    <w:rsid w:val="000853B5"/>
    <w:rsid w:val="00085F88"/>
    <w:rsid w:val="00090093"/>
    <w:rsid w:val="000910C7"/>
    <w:rsid w:val="000A1C68"/>
    <w:rsid w:val="000B6737"/>
    <w:rsid w:val="000B68B0"/>
    <w:rsid w:val="000C0975"/>
    <w:rsid w:val="000C0D24"/>
    <w:rsid w:val="000C4358"/>
    <w:rsid w:val="000D066A"/>
    <w:rsid w:val="000D52BA"/>
    <w:rsid w:val="000D69D3"/>
    <w:rsid w:val="000E3793"/>
    <w:rsid w:val="000E4987"/>
    <w:rsid w:val="000E7672"/>
    <w:rsid w:val="000E7FF3"/>
    <w:rsid w:val="000F253D"/>
    <w:rsid w:val="000F2E12"/>
    <w:rsid w:val="000F6663"/>
    <w:rsid w:val="00102B5F"/>
    <w:rsid w:val="00103BF8"/>
    <w:rsid w:val="00104259"/>
    <w:rsid w:val="00106FA1"/>
    <w:rsid w:val="00113A0D"/>
    <w:rsid w:val="00113BF5"/>
    <w:rsid w:val="00117901"/>
    <w:rsid w:val="00120EA3"/>
    <w:rsid w:val="00121DDB"/>
    <w:rsid w:val="00124659"/>
    <w:rsid w:val="001258EB"/>
    <w:rsid w:val="00130513"/>
    <w:rsid w:val="00133494"/>
    <w:rsid w:val="00134739"/>
    <w:rsid w:val="00135CB4"/>
    <w:rsid w:val="00141DD6"/>
    <w:rsid w:val="00143C47"/>
    <w:rsid w:val="001558CF"/>
    <w:rsid w:val="0016242F"/>
    <w:rsid w:val="0016468C"/>
    <w:rsid w:val="001646B1"/>
    <w:rsid w:val="00171CA6"/>
    <w:rsid w:val="00172EC4"/>
    <w:rsid w:val="00172F90"/>
    <w:rsid w:val="00175D33"/>
    <w:rsid w:val="00180BBB"/>
    <w:rsid w:val="00180D3F"/>
    <w:rsid w:val="00181402"/>
    <w:rsid w:val="00186717"/>
    <w:rsid w:val="001902F9"/>
    <w:rsid w:val="00191777"/>
    <w:rsid w:val="00193334"/>
    <w:rsid w:val="001946C3"/>
    <w:rsid w:val="00195D26"/>
    <w:rsid w:val="001A1146"/>
    <w:rsid w:val="001A4E3F"/>
    <w:rsid w:val="001A5647"/>
    <w:rsid w:val="001A5675"/>
    <w:rsid w:val="001A78EA"/>
    <w:rsid w:val="001B6A61"/>
    <w:rsid w:val="001B7310"/>
    <w:rsid w:val="001C1D74"/>
    <w:rsid w:val="001C28AC"/>
    <w:rsid w:val="001C3AEE"/>
    <w:rsid w:val="001C427F"/>
    <w:rsid w:val="001C4EBF"/>
    <w:rsid w:val="001C4F40"/>
    <w:rsid w:val="001C5775"/>
    <w:rsid w:val="001C6E1C"/>
    <w:rsid w:val="001D07EB"/>
    <w:rsid w:val="001D13D5"/>
    <w:rsid w:val="001D2722"/>
    <w:rsid w:val="001D33E1"/>
    <w:rsid w:val="001D67FB"/>
    <w:rsid w:val="001D6842"/>
    <w:rsid w:val="001D72E9"/>
    <w:rsid w:val="001E3425"/>
    <w:rsid w:val="001E56DD"/>
    <w:rsid w:val="001E7331"/>
    <w:rsid w:val="001F16C1"/>
    <w:rsid w:val="001F1B20"/>
    <w:rsid w:val="001F49EE"/>
    <w:rsid w:val="001F6094"/>
    <w:rsid w:val="001F7725"/>
    <w:rsid w:val="00204116"/>
    <w:rsid w:val="00205D30"/>
    <w:rsid w:val="00206CA9"/>
    <w:rsid w:val="0021077E"/>
    <w:rsid w:val="00212EC9"/>
    <w:rsid w:val="00216089"/>
    <w:rsid w:val="002162FC"/>
    <w:rsid w:val="0022205F"/>
    <w:rsid w:val="00223065"/>
    <w:rsid w:val="00225830"/>
    <w:rsid w:val="0022601A"/>
    <w:rsid w:val="002271FF"/>
    <w:rsid w:val="00227D90"/>
    <w:rsid w:val="002346EF"/>
    <w:rsid w:val="00241935"/>
    <w:rsid w:val="00242717"/>
    <w:rsid w:val="002432C5"/>
    <w:rsid w:val="00245180"/>
    <w:rsid w:val="00246568"/>
    <w:rsid w:val="002533C6"/>
    <w:rsid w:val="00255039"/>
    <w:rsid w:val="00255914"/>
    <w:rsid w:val="00255F23"/>
    <w:rsid w:val="00260662"/>
    <w:rsid w:val="002643A6"/>
    <w:rsid w:val="00265770"/>
    <w:rsid w:val="00266AC1"/>
    <w:rsid w:val="00266B4A"/>
    <w:rsid w:val="00271536"/>
    <w:rsid w:val="00272AA5"/>
    <w:rsid w:val="00274AB3"/>
    <w:rsid w:val="0028554B"/>
    <w:rsid w:val="0029145E"/>
    <w:rsid w:val="00291BCF"/>
    <w:rsid w:val="00292813"/>
    <w:rsid w:val="002A1838"/>
    <w:rsid w:val="002A19DB"/>
    <w:rsid w:val="002A2330"/>
    <w:rsid w:val="002A6D40"/>
    <w:rsid w:val="002A71E8"/>
    <w:rsid w:val="002B1969"/>
    <w:rsid w:val="002B23CD"/>
    <w:rsid w:val="002B2A1B"/>
    <w:rsid w:val="002B2C69"/>
    <w:rsid w:val="002B3A82"/>
    <w:rsid w:val="002B3DC4"/>
    <w:rsid w:val="002B4698"/>
    <w:rsid w:val="002B624C"/>
    <w:rsid w:val="002B757A"/>
    <w:rsid w:val="002C15C5"/>
    <w:rsid w:val="002C2A5D"/>
    <w:rsid w:val="002C334F"/>
    <w:rsid w:val="002C57B8"/>
    <w:rsid w:val="002D0DA8"/>
    <w:rsid w:val="002D2C85"/>
    <w:rsid w:val="002D472F"/>
    <w:rsid w:val="002D65FD"/>
    <w:rsid w:val="002E0937"/>
    <w:rsid w:val="002E3120"/>
    <w:rsid w:val="002E33EE"/>
    <w:rsid w:val="002E35F0"/>
    <w:rsid w:val="002E587A"/>
    <w:rsid w:val="002E7BC7"/>
    <w:rsid w:val="002F0637"/>
    <w:rsid w:val="002F1723"/>
    <w:rsid w:val="002F276E"/>
    <w:rsid w:val="002F4B0D"/>
    <w:rsid w:val="002F596C"/>
    <w:rsid w:val="002F5D83"/>
    <w:rsid w:val="002F62A6"/>
    <w:rsid w:val="002F68EA"/>
    <w:rsid w:val="0030000C"/>
    <w:rsid w:val="00302F22"/>
    <w:rsid w:val="003065A7"/>
    <w:rsid w:val="00307DC5"/>
    <w:rsid w:val="00310B70"/>
    <w:rsid w:val="00311793"/>
    <w:rsid w:val="00314309"/>
    <w:rsid w:val="003152D8"/>
    <w:rsid w:val="003153EA"/>
    <w:rsid w:val="003165DA"/>
    <w:rsid w:val="003207AD"/>
    <w:rsid w:val="0032150C"/>
    <w:rsid w:val="003218AB"/>
    <w:rsid w:val="00323B0D"/>
    <w:rsid w:val="003240C7"/>
    <w:rsid w:val="0032726E"/>
    <w:rsid w:val="00327FFD"/>
    <w:rsid w:val="003306B1"/>
    <w:rsid w:val="00331B84"/>
    <w:rsid w:val="0033440A"/>
    <w:rsid w:val="00336B28"/>
    <w:rsid w:val="00337E3B"/>
    <w:rsid w:val="003452D5"/>
    <w:rsid w:val="003453CC"/>
    <w:rsid w:val="0034687B"/>
    <w:rsid w:val="00350D3A"/>
    <w:rsid w:val="00352E0D"/>
    <w:rsid w:val="0035456F"/>
    <w:rsid w:val="003550FD"/>
    <w:rsid w:val="00355D44"/>
    <w:rsid w:val="00360F4F"/>
    <w:rsid w:val="00364919"/>
    <w:rsid w:val="00364D72"/>
    <w:rsid w:val="00365379"/>
    <w:rsid w:val="00366AAD"/>
    <w:rsid w:val="0036775F"/>
    <w:rsid w:val="00367E7B"/>
    <w:rsid w:val="003707B1"/>
    <w:rsid w:val="00374144"/>
    <w:rsid w:val="00374BC2"/>
    <w:rsid w:val="00376F75"/>
    <w:rsid w:val="00377371"/>
    <w:rsid w:val="00380C9C"/>
    <w:rsid w:val="00383E47"/>
    <w:rsid w:val="0038576E"/>
    <w:rsid w:val="00393A99"/>
    <w:rsid w:val="003947D7"/>
    <w:rsid w:val="00396D10"/>
    <w:rsid w:val="00397ADF"/>
    <w:rsid w:val="003A3380"/>
    <w:rsid w:val="003A353C"/>
    <w:rsid w:val="003A499A"/>
    <w:rsid w:val="003A4C35"/>
    <w:rsid w:val="003A78F8"/>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3C7B"/>
    <w:rsid w:val="003F63B2"/>
    <w:rsid w:val="003F7891"/>
    <w:rsid w:val="004008F2"/>
    <w:rsid w:val="00400ABE"/>
    <w:rsid w:val="00402AEB"/>
    <w:rsid w:val="004044F8"/>
    <w:rsid w:val="00404893"/>
    <w:rsid w:val="00406B31"/>
    <w:rsid w:val="004108DB"/>
    <w:rsid w:val="00412A91"/>
    <w:rsid w:val="00424676"/>
    <w:rsid w:val="004267DC"/>
    <w:rsid w:val="004300F6"/>
    <w:rsid w:val="00430352"/>
    <w:rsid w:val="0044220D"/>
    <w:rsid w:val="004442DF"/>
    <w:rsid w:val="0044607E"/>
    <w:rsid w:val="00450E30"/>
    <w:rsid w:val="00452AB8"/>
    <w:rsid w:val="00453C08"/>
    <w:rsid w:val="0045554F"/>
    <w:rsid w:val="00460591"/>
    <w:rsid w:val="00460E28"/>
    <w:rsid w:val="00461978"/>
    <w:rsid w:val="00465C31"/>
    <w:rsid w:val="00465CF3"/>
    <w:rsid w:val="00467E98"/>
    <w:rsid w:val="00470634"/>
    <w:rsid w:val="004727C8"/>
    <w:rsid w:val="00472986"/>
    <w:rsid w:val="004750CA"/>
    <w:rsid w:val="00475F44"/>
    <w:rsid w:val="004805A9"/>
    <w:rsid w:val="004809B4"/>
    <w:rsid w:val="00481792"/>
    <w:rsid w:val="00482C0C"/>
    <w:rsid w:val="004835E2"/>
    <w:rsid w:val="00484852"/>
    <w:rsid w:val="00491675"/>
    <w:rsid w:val="00491D61"/>
    <w:rsid w:val="00495990"/>
    <w:rsid w:val="004A0542"/>
    <w:rsid w:val="004A1F8F"/>
    <w:rsid w:val="004A2C5B"/>
    <w:rsid w:val="004A4E09"/>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549C"/>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070E6"/>
    <w:rsid w:val="00510263"/>
    <w:rsid w:val="00512B3B"/>
    <w:rsid w:val="005145D0"/>
    <w:rsid w:val="00515EA7"/>
    <w:rsid w:val="00516008"/>
    <w:rsid w:val="00521180"/>
    <w:rsid w:val="00521A26"/>
    <w:rsid w:val="00523B1E"/>
    <w:rsid w:val="00523F94"/>
    <w:rsid w:val="0052406C"/>
    <w:rsid w:val="005251A1"/>
    <w:rsid w:val="00530539"/>
    <w:rsid w:val="0053159D"/>
    <w:rsid w:val="005317C8"/>
    <w:rsid w:val="00533089"/>
    <w:rsid w:val="00534562"/>
    <w:rsid w:val="00535C26"/>
    <w:rsid w:val="00536B3C"/>
    <w:rsid w:val="00540885"/>
    <w:rsid w:val="00551177"/>
    <w:rsid w:val="00555EBE"/>
    <w:rsid w:val="00556A3F"/>
    <w:rsid w:val="005606F4"/>
    <w:rsid w:val="00562DAB"/>
    <w:rsid w:val="0057008D"/>
    <w:rsid w:val="00570487"/>
    <w:rsid w:val="0057156F"/>
    <w:rsid w:val="00571A28"/>
    <w:rsid w:val="00573805"/>
    <w:rsid w:val="0057457B"/>
    <w:rsid w:val="00574E6B"/>
    <w:rsid w:val="005808C1"/>
    <w:rsid w:val="005813C7"/>
    <w:rsid w:val="0058504F"/>
    <w:rsid w:val="0058548F"/>
    <w:rsid w:val="00586618"/>
    <w:rsid w:val="005904D7"/>
    <w:rsid w:val="005916E1"/>
    <w:rsid w:val="0059403C"/>
    <w:rsid w:val="005944B5"/>
    <w:rsid w:val="00597655"/>
    <w:rsid w:val="00597AA4"/>
    <w:rsid w:val="005A0295"/>
    <w:rsid w:val="005A119B"/>
    <w:rsid w:val="005A3E14"/>
    <w:rsid w:val="005A669F"/>
    <w:rsid w:val="005B35BF"/>
    <w:rsid w:val="005B434E"/>
    <w:rsid w:val="005B5041"/>
    <w:rsid w:val="005B7E58"/>
    <w:rsid w:val="005C0C76"/>
    <w:rsid w:val="005C0E87"/>
    <w:rsid w:val="005C252B"/>
    <w:rsid w:val="005C73B3"/>
    <w:rsid w:val="005C7AE0"/>
    <w:rsid w:val="005D1811"/>
    <w:rsid w:val="005D652A"/>
    <w:rsid w:val="005D7C97"/>
    <w:rsid w:val="005E440F"/>
    <w:rsid w:val="005E52C4"/>
    <w:rsid w:val="005E6E3C"/>
    <w:rsid w:val="005E73C8"/>
    <w:rsid w:val="005F1922"/>
    <w:rsid w:val="005F5451"/>
    <w:rsid w:val="005F7196"/>
    <w:rsid w:val="00600474"/>
    <w:rsid w:val="00604160"/>
    <w:rsid w:val="00604A7E"/>
    <w:rsid w:val="00605836"/>
    <w:rsid w:val="0060614D"/>
    <w:rsid w:val="00606F41"/>
    <w:rsid w:val="006119C9"/>
    <w:rsid w:val="00615CA0"/>
    <w:rsid w:val="00624D02"/>
    <w:rsid w:val="00625623"/>
    <w:rsid w:val="00626A2D"/>
    <w:rsid w:val="00627DCE"/>
    <w:rsid w:val="00627FC0"/>
    <w:rsid w:val="006300AC"/>
    <w:rsid w:val="006306C1"/>
    <w:rsid w:val="0063189E"/>
    <w:rsid w:val="006345CD"/>
    <w:rsid w:val="006363BA"/>
    <w:rsid w:val="00640921"/>
    <w:rsid w:val="006415E0"/>
    <w:rsid w:val="00641BBB"/>
    <w:rsid w:val="00642F28"/>
    <w:rsid w:val="006445C6"/>
    <w:rsid w:val="00647581"/>
    <w:rsid w:val="006475C8"/>
    <w:rsid w:val="00647A0A"/>
    <w:rsid w:val="006522F8"/>
    <w:rsid w:val="006550E2"/>
    <w:rsid w:val="00670199"/>
    <w:rsid w:val="00670954"/>
    <w:rsid w:val="0067598C"/>
    <w:rsid w:val="006759D1"/>
    <w:rsid w:val="00680781"/>
    <w:rsid w:val="00683CBE"/>
    <w:rsid w:val="00684976"/>
    <w:rsid w:val="00684D3E"/>
    <w:rsid w:val="00687B96"/>
    <w:rsid w:val="00692D0A"/>
    <w:rsid w:val="006A22A0"/>
    <w:rsid w:val="006A22FD"/>
    <w:rsid w:val="006A3132"/>
    <w:rsid w:val="006A3C6B"/>
    <w:rsid w:val="006A3F62"/>
    <w:rsid w:val="006A44E6"/>
    <w:rsid w:val="006B0A2B"/>
    <w:rsid w:val="006B34AD"/>
    <w:rsid w:val="006B45DE"/>
    <w:rsid w:val="006B6481"/>
    <w:rsid w:val="006B691B"/>
    <w:rsid w:val="006C15CA"/>
    <w:rsid w:val="006C405E"/>
    <w:rsid w:val="006C50EA"/>
    <w:rsid w:val="006C5D33"/>
    <w:rsid w:val="006C64BE"/>
    <w:rsid w:val="006C6D9D"/>
    <w:rsid w:val="006D1712"/>
    <w:rsid w:val="006D185E"/>
    <w:rsid w:val="006D3D58"/>
    <w:rsid w:val="006D58A5"/>
    <w:rsid w:val="006E0596"/>
    <w:rsid w:val="006E1357"/>
    <w:rsid w:val="006E690C"/>
    <w:rsid w:val="006F00F2"/>
    <w:rsid w:val="006F115F"/>
    <w:rsid w:val="006F4AE7"/>
    <w:rsid w:val="006F58DF"/>
    <w:rsid w:val="006F5F2A"/>
    <w:rsid w:val="00700657"/>
    <w:rsid w:val="00700949"/>
    <w:rsid w:val="00701E4B"/>
    <w:rsid w:val="00702EC5"/>
    <w:rsid w:val="00704AF7"/>
    <w:rsid w:val="0070733E"/>
    <w:rsid w:val="0070763B"/>
    <w:rsid w:val="007076AC"/>
    <w:rsid w:val="0071043D"/>
    <w:rsid w:val="007142DA"/>
    <w:rsid w:val="0071461F"/>
    <w:rsid w:val="007167B9"/>
    <w:rsid w:val="0072141B"/>
    <w:rsid w:val="00721555"/>
    <w:rsid w:val="007232D9"/>
    <w:rsid w:val="007259DA"/>
    <w:rsid w:val="00730E63"/>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2019"/>
    <w:rsid w:val="0078238E"/>
    <w:rsid w:val="00783726"/>
    <w:rsid w:val="00784DF2"/>
    <w:rsid w:val="0078681A"/>
    <w:rsid w:val="0079011E"/>
    <w:rsid w:val="007905DB"/>
    <w:rsid w:val="00790BA5"/>
    <w:rsid w:val="00790F9A"/>
    <w:rsid w:val="00791ADD"/>
    <w:rsid w:val="00793E3B"/>
    <w:rsid w:val="00793F87"/>
    <w:rsid w:val="00794CBF"/>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559"/>
    <w:rsid w:val="00802649"/>
    <w:rsid w:val="008061A9"/>
    <w:rsid w:val="00807010"/>
    <w:rsid w:val="0080793D"/>
    <w:rsid w:val="00813065"/>
    <w:rsid w:val="0081397B"/>
    <w:rsid w:val="00813F6C"/>
    <w:rsid w:val="00814645"/>
    <w:rsid w:val="008146A1"/>
    <w:rsid w:val="00816432"/>
    <w:rsid w:val="00817CC7"/>
    <w:rsid w:val="00821D58"/>
    <w:rsid w:val="00826423"/>
    <w:rsid w:val="00826B5F"/>
    <w:rsid w:val="00830183"/>
    <w:rsid w:val="0083148E"/>
    <w:rsid w:val="008326BC"/>
    <w:rsid w:val="00834CAA"/>
    <w:rsid w:val="00835FA4"/>
    <w:rsid w:val="00836CC2"/>
    <w:rsid w:val="00842BF2"/>
    <w:rsid w:val="00843F26"/>
    <w:rsid w:val="008452D8"/>
    <w:rsid w:val="0084685F"/>
    <w:rsid w:val="008543CB"/>
    <w:rsid w:val="00855BDD"/>
    <w:rsid w:val="008610FC"/>
    <w:rsid w:val="00862BF3"/>
    <w:rsid w:val="00865894"/>
    <w:rsid w:val="00866203"/>
    <w:rsid w:val="0087010F"/>
    <w:rsid w:val="008726D1"/>
    <w:rsid w:val="008730C6"/>
    <w:rsid w:val="00880AFA"/>
    <w:rsid w:val="00881020"/>
    <w:rsid w:val="0088169A"/>
    <w:rsid w:val="008822C2"/>
    <w:rsid w:val="00882698"/>
    <w:rsid w:val="00882D78"/>
    <w:rsid w:val="00884160"/>
    <w:rsid w:val="008844C5"/>
    <w:rsid w:val="0088576B"/>
    <w:rsid w:val="00887943"/>
    <w:rsid w:val="008900F6"/>
    <w:rsid w:val="008909DF"/>
    <w:rsid w:val="008914B0"/>
    <w:rsid w:val="00892327"/>
    <w:rsid w:val="008941B7"/>
    <w:rsid w:val="008961E4"/>
    <w:rsid w:val="008A131E"/>
    <w:rsid w:val="008A18CE"/>
    <w:rsid w:val="008A1ABD"/>
    <w:rsid w:val="008A2C82"/>
    <w:rsid w:val="008A467D"/>
    <w:rsid w:val="008A6A50"/>
    <w:rsid w:val="008B1BB5"/>
    <w:rsid w:val="008B1DDB"/>
    <w:rsid w:val="008B2340"/>
    <w:rsid w:val="008B2C3F"/>
    <w:rsid w:val="008B41E0"/>
    <w:rsid w:val="008B5D76"/>
    <w:rsid w:val="008C14CD"/>
    <w:rsid w:val="008C174C"/>
    <w:rsid w:val="008C280A"/>
    <w:rsid w:val="008C35AD"/>
    <w:rsid w:val="008C4601"/>
    <w:rsid w:val="008D0C20"/>
    <w:rsid w:val="008D77A4"/>
    <w:rsid w:val="008E2B5E"/>
    <w:rsid w:val="008E726C"/>
    <w:rsid w:val="008F0159"/>
    <w:rsid w:val="00900726"/>
    <w:rsid w:val="009051DB"/>
    <w:rsid w:val="009062B5"/>
    <w:rsid w:val="009067CF"/>
    <w:rsid w:val="00906A92"/>
    <w:rsid w:val="00906C5A"/>
    <w:rsid w:val="00907574"/>
    <w:rsid w:val="0090758E"/>
    <w:rsid w:val="00910401"/>
    <w:rsid w:val="00914E42"/>
    <w:rsid w:val="009155D2"/>
    <w:rsid w:val="009220D8"/>
    <w:rsid w:val="00923449"/>
    <w:rsid w:val="00923FDE"/>
    <w:rsid w:val="00925283"/>
    <w:rsid w:val="00927932"/>
    <w:rsid w:val="009313CA"/>
    <w:rsid w:val="009371EC"/>
    <w:rsid w:val="00941F02"/>
    <w:rsid w:val="00942DE6"/>
    <w:rsid w:val="009433E7"/>
    <w:rsid w:val="00943F83"/>
    <w:rsid w:val="00945F9C"/>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111A"/>
    <w:rsid w:val="009923AA"/>
    <w:rsid w:val="00995993"/>
    <w:rsid w:val="00996AD5"/>
    <w:rsid w:val="009A0088"/>
    <w:rsid w:val="009A357E"/>
    <w:rsid w:val="009A49F9"/>
    <w:rsid w:val="009A4EA8"/>
    <w:rsid w:val="009A5956"/>
    <w:rsid w:val="009B05C5"/>
    <w:rsid w:val="009B1995"/>
    <w:rsid w:val="009B69DE"/>
    <w:rsid w:val="009C0367"/>
    <w:rsid w:val="009C0D10"/>
    <w:rsid w:val="009C333D"/>
    <w:rsid w:val="009C624B"/>
    <w:rsid w:val="009D1565"/>
    <w:rsid w:val="009D211D"/>
    <w:rsid w:val="009D256D"/>
    <w:rsid w:val="009D5B97"/>
    <w:rsid w:val="009E1609"/>
    <w:rsid w:val="009E1D6E"/>
    <w:rsid w:val="009E3101"/>
    <w:rsid w:val="009E4620"/>
    <w:rsid w:val="009E622B"/>
    <w:rsid w:val="009E647E"/>
    <w:rsid w:val="009E7165"/>
    <w:rsid w:val="009F1255"/>
    <w:rsid w:val="009F1BFB"/>
    <w:rsid w:val="009F3F0D"/>
    <w:rsid w:val="009F426C"/>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2C2E"/>
    <w:rsid w:val="00A45A70"/>
    <w:rsid w:val="00A50179"/>
    <w:rsid w:val="00A5076F"/>
    <w:rsid w:val="00A51C7D"/>
    <w:rsid w:val="00A53333"/>
    <w:rsid w:val="00A5357A"/>
    <w:rsid w:val="00A539B8"/>
    <w:rsid w:val="00A55D84"/>
    <w:rsid w:val="00A63DC0"/>
    <w:rsid w:val="00A6509B"/>
    <w:rsid w:val="00A65A16"/>
    <w:rsid w:val="00A65FCE"/>
    <w:rsid w:val="00A674EB"/>
    <w:rsid w:val="00A71A67"/>
    <w:rsid w:val="00A74604"/>
    <w:rsid w:val="00A74C87"/>
    <w:rsid w:val="00A7559B"/>
    <w:rsid w:val="00A76E49"/>
    <w:rsid w:val="00A81AA6"/>
    <w:rsid w:val="00A82879"/>
    <w:rsid w:val="00A83165"/>
    <w:rsid w:val="00A8326D"/>
    <w:rsid w:val="00A85DF0"/>
    <w:rsid w:val="00A92027"/>
    <w:rsid w:val="00A92059"/>
    <w:rsid w:val="00A94DA1"/>
    <w:rsid w:val="00A9553B"/>
    <w:rsid w:val="00AA22AB"/>
    <w:rsid w:val="00AA284C"/>
    <w:rsid w:val="00AA2AB0"/>
    <w:rsid w:val="00AA531A"/>
    <w:rsid w:val="00AB54E8"/>
    <w:rsid w:val="00AB5845"/>
    <w:rsid w:val="00AB617B"/>
    <w:rsid w:val="00AB6A87"/>
    <w:rsid w:val="00AB6D4D"/>
    <w:rsid w:val="00AB7C8D"/>
    <w:rsid w:val="00AC063B"/>
    <w:rsid w:val="00AC2103"/>
    <w:rsid w:val="00AC29A8"/>
    <w:rsid w:val="00AC3678"/>
    <w:rsid w:val="00AC3F64"/>
    <w:rsid w:val="00AC5C4C"/>
    <w:rsid w:val="00AD0675"/>
    <w:rsid w:val="00AD0E53"/>
    <w:rsid w:val="00AD5F2A"/>
    <w:rsid w:val="00AD750F"/>
    <w:rsid w:val="00AE0BF3"/>
    <w:rsid w:val="00AE397B"/>
    <w:rsid w:val="00AE63C7"/>
    <w:rsid w:val="00AE7929"/>
    <w:rsid w:val="00AF2F0A"/>
    <w:rsid w:val="00AF3325"/>
    <w:rsid w:val="00AF581C"/>
    <w:rsid w:val="00AF5830"/>
    <w:rsid w:val="00AF72B2"/>
    <w:rsid w:val="00B01256"/>
    <w:rsid w:val="00B03DB4"/>
    <w:rsid w:val="00B05105"/>
    <w:rsid w:val="00B0596D"/>
    <w:rsid w:val="00B108B3"/>
    <w:rsid w:val="00B10ABD"/>
    <w:rsid w:val="00B11402"/>
    <w:rsid w:val="00B12B0D"/>
    <w:rsid w:val="00B12D2D"/>
    <w:rsid w:val="00B157EC"/>
    <w:rsid w:val="00B17D8C"/>
    <w:rsid w:val="00B22F18"/>
    <w:rsid w:val="00B23B40"/>
    <w:rsid w:val="00B24689"/>
    <w:rsid w:val="00B25FD9"/>
    <w:rsid w:val="00B3468F"/>
    <w:rsid w:val="00B37749"/>
    <w:rsid w:val="00B37D30"/>
    <w:rsid w:val="00B41320"/>
    <w:rsid w:val="00B41452"/>
    <w:rsid w:val="00B42CC1"/>
    <w:rsid w:val="00B448C7"/>
    <w:rsid w:val="00B526FC"/>
    <w:rsid w:val="00B539B2"/>
    <w:rsid w:val="00B5448B"/>
    <w:rsid w:val="00B5456A"/>
    <w:rsid w:val="00B60DB8"/>
    <w:rsid w:val="00B6330C"/>
    <w:rsid w:val="00B6382A"/>
    <w:rsid w:val="00B6734F"/>
    <w:rsid w:val="00B67D29"/>
    <w:rsid w:val="00B71611"/>
    <w:rsid w:val="00B74A34"/>
    <w:rsid w:val="00B82158"/>
    <w:rsid w:val="00B832EB"/>
    <w:rsid w:val="00B86EA9"/>
    <w:rsid w:val="00B918BA"/>
    <w:rsid w:val="00B934D4"/>
    <w:rsid w:val="00B9360B"/>
    <w:rsid w:val="00BA5F10"/>
    <w:rsid w:val="00BA78FA"/>
    <w:rsid w:val="00BB0AE7"/>
    <w:rsid w:val="00BB2B8D"/>
    <w:rsid w:val="00BD116E"/>
    <w:rsid w:val="00BD3C4D"/>
    <w:rsid w:val="00BE037D"/>
    <w:rsid w:val="00BE0EC3"/>
    <w:rsid w:val="00BE1131"/>
    <w:rsid w:val="00BE37EE"/>
    <w:rsid w:val="00BE4109"/>
    <w:rsid w:val="00BE5CDE"/>
    <w:rsid w:val="00BE674C"/>
    <w:rsid w:val="00BE7567"/>
    <w:rsid w:val="00BE7A19"/>
    <w:rsid w:val="00BE7C68"/>
    <w:rsid w:val="00BF0A2B"/>
    <w:rsid w:val="00BF0C3F"/>
    <w:rsid w:val="00BF1513"/>
    <w:rsid w:val="00BF41D6"/>
    <w:rsid w:val="00BF4AF4"/>
    <w:rsid w:val="00BF61A9"/>
    <w:rsid w:val="00BF651D"/>
    <w:rsid w:val="00C013F8"/>
    <w:rsid w:val="00C03FC8"/>
    <w:rsid w:val="00C0752A"/>
    <w:rsid w:val="00C11145"/>
    <w:rsid w:val="00C122BD"/>
    <w:rsid w:val="00C125AD"/>
    <w:rsid w:val="00C1619C"/>
    <w:rsid w:val="00C20809"/>
    <w:rsid w:val="00C22902"/>
    <w:rsid w:val="00C24723"/>
    <w:rsid w:val="00C254B2"/>
    <w:rsid w:val="00C304AA"/>
    <w:rsid w:val="00C33238"/>
    <w:rsid w:val="00C34302"/>
    <w:rsid w:val="00C37594"/>
    <w:rsid w:val="00C37C3C"/>
    <w:rsid w:val="00C400A0"/>
    <w:rsid w:val="00C415FC"/>
    <w:rsid w:val="00C434D2"/>
    <w:rsid w:val="00C45D7F"/>
    <w:rsid w:val="00C475A9"/>
    <w:rsid w:val="00C50801"/>
    <w:rsid w:val="00C525A6"/>
    <w:rsid w:val="00C5373F"/>
    <w:rsid w:val="00C54D7F"/>
    <w:rsid w:val="00C6055D"/>
    <w:rsid w:val="00C62906"/>
    <w:rsid w:val="00C64331"/>
    <w:rsid w:val="00C67976"/>
    <w:rsid w:val="00C71380"/>
    <w:rsid w:val="00C7621A"/>
    <w:rsid w:val="00C7792E"/>
    <w:rsid w:val="00C85428"/>
    <w:rsid w:val="00C85AC1"/>
    <w:rsid w:val="00C85F6D"/>
    <w:rsid w:val="00C86A8D"/>
    <w:rsid w:val="00C875C5"/>
    <w:rsid w:val="00C94500"/>
    <w:rsid w:val="00C95316"/>
    <w:rsid w:val="00C956F2"/>
    <w:rsid w:val="00C95CEE"/>
    <w:rsid w:val="00C95FFE"/>
    <w:rsid w:val="00C97FC0"/>
    <w:rsid w:val="00CA2764"/>
    <w:rsid w:val="00CA3DAA"/>
    <w:rsid w:val="00CA4798"/>
    <w:rsid w:val="00CA4BBC"/>
    <w:rsid w:val="00CB2A35"/>
    <w:rsid w:val="00CB4625"/>
    <w:rsid w:val="00CB70A6"/>
    <w:rsid w:val="00CB7B3D"/>
    <w:rsid w:val="00CC1783"/>
    <w:rsid w:val="00CC27AE"/>
    <w:rsid w:val="00CC588F"/>
    <w:rsid w:val="00CC6A1D"/>
    <w:rsid w:val="00CC72FE"/>
    <w:rsid w:val="00CD0F73"/>
    <w:rsid w:val="00CD19EC"/>
    <w:rsid w:val="00CD1A03"/>
    <w:rsid w:val="00CD22B0"/>
    <w:rsid w:val="00CD7288"/>
    <w:rsid w:val="00CD7AF8"/>
    <w:rsid w:val="00CE0A47"/>
    <w:rsid w:val="00CE0D34"/>
    <w:rsid w:val="00CE3329"/>
    <w:rsid w:val="00CE4CD1"/>
    <w:rsid w:val="00CE6338"/>
    <w:rsid w:val="00CF1691"/>
    <w:rsid w:val="00CF4811"/>
    <w:rsid w:val="00D00CB4"/>
    <w:rsid w:val="00D0345E"/>
    <w:rsid w:val="00D064FF"/>
    <w:rsid w:val="00D07ABB"/>
    <w:rsid w:val="00D07AFA"/>
    <w:rsid w:val="00D07CC4"/>
    <w:rsid w:val="00D11ABE"/>
    <w:rsid w:val="00D15858"/>
    <w:rsid w:val="00D162B5"/>
    <w:rsid w:val="00D16345"/>
    <w:rsid w:val="00D167AC"/>
    <w:rsid w:val="00D2176A"/>
    <w:rsid w:val="00D21AB2"/>
    <w:rsid w:val="00D24C02"/>
    <w:rsid w:val="00D25DCB"/>
    <w:rsid w:val="00D26B86"/>
    <w:rsid w:val="00D309CE"/>
    <w:rsid w:val="00D34E74"/>
    <w:rsid w:val="00D3621C"/>
    <w:rsid w:val="00D37025"/>
    <w:rsid w:val="00D40E3A"/>
    <w:rsid w:val="00D414DD"/>
    <w:rsid w:val="00D42192"/>
    <w:rsid w:val="00D46D61"/>
    <w:rsid w:val="00D5164E"/>
    <w:rsid w:val="00D5788E"/>
    <w:rsid w:val="00D57F06"/>
    <w:rsid w:val="00D63B48"/>
    <w:rsid w:val="00D6453F"/>
    <w:rsid w:val="00D732F9"/>
    <w:rsid w:val="00D805E5"/>
    <w:rsid w:val="00D80F3B"/>
    <w:rsid w:val="00D826C7"/>
    <w:rsid w:val="00D83C96"/>
    <w:rsid w:val="00D85399"/>
    <w:rsid w:val="00D86063"/>
    <w:rsid w:val="00D8775D"/>
    <w:rsid w:val="00D92315"/>
    <w:rsid w:val="00D9281B"/>
    <w:rsid w:val="00D92B58"/>
    <w:rsid w:val="00D95C8E"/>
    <w:rsid w:val="00DA0B1F"/>
    <w:rsid w:val="00DA206E"/>
    <w:rsid w:val="00DA3B07"/>
    <w:rsid w:val="00DA4C12"/>
    <w:rsid w:val="00DA5D1B"/>
    <w:rsid w:val="00DA78C1"/>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16B9"/>
    <w:rsid w:val="00DE6D5B"/>
    <w:rsid w:val="00DF2D08"/>
    <w:rsid w:val="00DF4626"/>
    <w:rsid w:val="00E0284F"/>
    <w:rsid w:val="00E04631"/>
    <w:rsid w:val="00E04A31"/>
    <w:rsid w:val="00E05DBC"/>
    <w:rsid w:val="00E15544"/>
    <w:rsid w:val="00E22661"/>
    <w:rsid w:val="00E2320B"/>
    <w:rsid w:val="00E26038"/>
    <w:rsid w:val="00E3486E"/>
    <w:rsid w:val="00E40F8D"/>
    <w:rsid w:val="00E438C6"/>
    <w:rsid w:val="00E465DA"/>
    <w:rsid w:val="00E470DF"/>
    <w:rsid w:val="00E53DF6"/>
    <w:rsid w:val="00E54144"/>
    <w:rsid w:val="00E5661E"/>
    <w:rsid w:val="00E63447"/>
    <w:rsid w:val="00E64401"/>
    <w:rsid w:val="00E701FC"/>
    <w:rsid w:val="00E705DE"/>
    <w:rsid w:val="00E733B0"/>
    <w:rsid w:val="00E74185"/>
    <w:rsid w:val="00E75B1F"/>
    <w:rsid w:val="00E805D8"/>
    <w:rsid w:val="00E80B3A"/>
    <w:rsid w:val="00E80B60"/>
    <w:rsid w:val="00E80FA2"/>
    <w:rsid w:val="00E8242A"/>
    <w:rsid w:val="00E91465"/>
    <w:rsid w:val="00E91E70"/>
    <w:rsid w:val="00E920A7"/>
    <w:rsid w:val="00E92558"/>
    <w:rsid w:val="00E956E0"/>
    <w:rsid w:val="00E96AC7"/>
    <w:rsid w:val="00EA0698"/>
    <w:rsid w:val="00EA4A2E"/>
    <w:rsid w:val="00EA5F8F"/>
    <w:rsid w:val="00EB0291"/>
    <w:rsid w:val="00EB4668"/>
    <w:rsid w:val="00EB5BF6"/>
    <w:rsid w:val="00EC06B1"/>
    <w:rsid w:val="00EC57D2"/>
    <w:rsid w:val="00EC71A5"/>
    <w:rsid w:val="00ED387E"/>
    <w:rsid w:val="00ED4888"/>
    <w:rsid w:val="00ED63C7"/>
    <w:rsid w:val="00EE101B"/>
    <w:rsid w:val="00EE1375"/>
    <w:rsid w:val="00EE20AF"/>
    <w:rsid w:val="00EE2A00"/>
    <w:rsid w:val="00EE2A27"/>
    <w:rsid w:val="00EE5DE5"/>
    <w:rsid w:val="00EE738A"/>
    <w:rsid w:val="00EF116F"/>
    <w:rsid w:val="00EF30D5"/>
    <w:rsid w:val="00EF52F3"/>
    <w:rsid w:val="00EF7C54"/>
    <w:rsid w:val="00F006E8"/>
    <w:rsid w:val="00F0123E"/>
    <w:rsid w:val="00F04C01"/>
    <w:rsid w:val="00F072B6"/>
    <w:rsid w:val="00F10135"/>
    <w:rsid w:val="00F11E8F"/>
    <w:rsid w:val="00F1207D"/>
    <w:rsid w:val="00F12CE2"/>
    <w:rsid w:val="00F12D68"/>
    <w:rsid w:val="00F164D9"/>
    <w:rsid w:val="00F1688A"/>
    <w:rsid w:val="00F31E71"/>
    <w:rsid w:val="00F31FDE"/>
    <w:rsid w:val="00F3435F"/>
    <w:rsid w:val="00F36CA7"/>
    <w:rsid w:val="00F41806"/>
    <w:rsid w:val="00F45E9A"/>
    <w:rsid w:val="00F47FA2"/>
    <w:rsid w:val="00F50B4D"/>
    <w:rsid w:val="00F52F8B"/>
    <w:rsid w:val="00F63FE7"/>
    <w:rsid w:val="00F647C8"/>
    <w:rsid w:val="00F656F1"/>
    <w:rsid w:val="00F65F09"/>
    <w:rsid w:val="00F667CB"/>
    <w:rsid w:val="00F66E38"/>
    <w:rsid w:val="00F72C66"/>
    <w:rsid w:val="00F7398D"/>
    <w:rsid w:val="00F77BBF"/>
    <w:rsid w:val="00F77FFE"/>
    <w:rsid w:val="00F802A0"/>
    <w:rsid w:val="00F809FD"/>
    <w:rsid w:val="00F80B44"/>
    <w:rsid w:val="00F817D5"/>
    <w:rsid w:val="00F83AE6"/>
    <w:rsid w:val="00F86D4A"/>
    <w:rsid w:val="00F87AA4"/>
    <w:rsid w:val="00F91F58"/>
    <w:rsid w:val="00F93E2B"/>
    <w:rsid w:val="00F9509C"/>
    <w:rsid w:val="00FA1F67"/>
    <w:rsid w:val="00FA535D"/>
    <w:rsid w:val="00FA6C91"/>
    <w:rsid w:val="00FB0642"/>
    <w:rsid w:val="00FB1B3E"/>
    <w:rsid w:val="00FB1C2D"/>
    <w:rsid w:val="00FB526B"/>
    <w:rsid w:val="00FB5B74"/>
    <w:rsid w:val="00FC05EC"/>
    <w:rsid w:val="00FC0663"/>
    <w:rsid w:val="00FC2A5A"/>
    <w:rsid w:val="00FC734D"/>
    <w:rsid w:val="00FC73EF"/>
    <w:rsid w:val="00FD0BCB"/>
    <w:rsid w:val="00FD75D3"/>
    <w:rsid w:val="00FE4229"/>
    <w:rsid w:val="00FE6148"/>
    <w:rsid w:val="00FE6B80"/>
    <w:rsid w:val="00FE6E65"/>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4BF815A2-21A9-4A8B-8D3E-3E87B317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uiPriority w:val="99"/>
    <w:rsid w:val="00C400A0"/>
    <w:pPr>
      <w:tabs>
        <w:tab w:val="center" w:pos="4252"/>
        <w:tab w:val="right" w:pos="8504"/>
      </w:tabs>
    </w:pPr>
    <w:rPr>
      <w:lang w:val="x-none" w:eastAsia="x-none"/>
    </w:rPr>
  </w:style>
  <w:style w:type="character" w:customStyle="1" w:styleId="PiedepginaCar">
    <w:name w:val="Pie de página Car"/>
    <w:link w:val="Piedepgina"/>
    <w:uiPriority w:val="99"/>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013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459884442">
      <w:bodyDiv w:val="1"/>
      <w:marLeft w:val="0"/>
      <w:marRight w:val="0"/>
      <w:marTop w:val="0"/>
      <w:marBottom w:val="0"/>
      <w:divBdr>
        <w:top w:val="none" w:sz="0" w:space="0" w:color="auto"/>
        <w:left w:val="none" w:sz="0" w:space="0" w:color="auto"/>
        <w:bottom w:val="none" w:sz="0" w:space="0" w:color="auto"/>
        <w:right w:val="none" w:sz="0" w:space="0" w:color="auto"/>
      </w:divBdr>
    </w:div>
    <w:div w:id="1103495913">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28642238">
      <w:bodyDiv w:val="1"/>
      <w:marLeft w:val="0"/>
      <w:marRight w:val="0"/>
      <w:marTop w:val="0"/>
      <w:marBottom w:val="0"/>
      <w:divBdr>
        <w:top w:val="none" w:sz="0" w:space="0" w:color="auto"/>
        <w:left w:val="none" w:sz="0" w:space="0" w:color="auto"/>
        <w:bottom w:val="none" w:sz="0" w:space="0" w:color="auto"/>
        <w:right w:val="none" w:sz="0" w:space="0" w:color="auto"/>
      </w:divBdr>
    </w:div>
    <w:div w:id="1593859526">
      <w:bodyDiv w:val="1"/>
      <w:marLeft w:val="0"/>
      <w:marRight w:val="0"/>
      <w:marTop w:val="0"/>
      <w:marBottom w:val="0"/>
      <w:divBdr>
        <w:top w:val="none" w:sz="0" w:space="0" w:color="auto"/>
        <w:left w:val="none" w:sz="0" w:space="0" w:color="auto"/>
        <w:bottom w:val="none" w:sz="0" w:space="0" w:color="auto"/>
        <w:right w:val="none" w:sz="0" w:space="0" w:color="auto"/>
      </w:divBdr>
    </w:div>
    <w:div w:id="1718313219">
      <w:bodyDiv w:val="1"/>
      <w:marLeft w:val="0"/>
      <w:marRight w:val="0"/>
      <w:marTop w:val="0"/>
      <w:marBottom w:val="0"/>
      <w:divBdr>
        <w:top w:val="none" w:sz="0" w:space="0" w:color="auto"/>
        <w:left w:val="none" w:sz="0" w:space="0" w:color="auto"/>
        <w:bottom w:val="none" w:sz="0" w:space="0" w:color="auto"/>
        <w:right w:val="none" w:sz="0" w:space="0" w:color="auto"/>
      </w:divBdr>
    </w:div>
    <w:div w:id="2008827587">
      <w:bodyDiv w:val="1"/>
      <w:marLeft w:val="0"/>
      <w:marRight w:val="0"/>
      <w:marTop w:val="0"/>
      <w:marBottom w:val="0"/>
      <w:divBdr>
        <w:top w:val="none" w:sz="0" w:space="0" w:color="auto"/>
        <w:left w:val="none" w:sz="0" w:space="0" w:color="auto"/>
        <w:bottom w:val="none" w:sz="0" w:space="0" w:color="auto"/>
        <w:right w:val="none" w:sz="0" w:space="0" w:color="auto"/>
      </w:divBdr>
    </w:div>
    <w:div w:id="2074889343">
      <w:bodyDiv w:val="1"/>
      <w:marLeft w:val="0"/>
      <w:marRight w:val="0"/>
      <w:marTop w:val="0"/>
      <w:marBottom w:val="0"/>
      <w:divBdr>
        <w:top w:val="none" w:sz="0" w:space="0" w:color="auto"/>
        <w:left w:val="none" w:sz="0" w:space="0" w:color="auto"/>
        <w:bottom w:val="none" w:sz="0" w:space="0" w:color="auto"/>
        <w:right w:val="none" w:sz="0" w:space="0" w:color="auto"/>
      </w:divBdr>
    </w:div>
    <w:div w:id="212954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ees.es/pdf/Declaracion_Boloni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6FD75681994F2DA30A93541F4A1684"/>
        <w:category>
          <w:name w:val="General"/>
          <w:gallery w:val="placeholder"/>
        </w:category>
        <w:types>
          <w:type w:val="bbPlcHdr"/>
        </w:types>
        <w:behaviors>
          <w:behavior w:val="content"/>
        </w:behaviors>
        <w:guid w:val="{35831227-2302-4917-8CB4-23B5CF7E8791}"/>
      </w:docPartPr>
      <w:docPartBody>
        <w:p w:rsidR="0034744D" w:rsidRDefault="003C0763" w:rsidP="003C0763">
          <w:pPr>
            <w:pStyle w:val="E86FD75681994F2DA30A93541F4A1684"/>
          </w:pPr>
          <w: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763"/>
    <w:rsid w:val="0034744D"/>
    <w:rsid w:val="003C0763"/>
    <w:rsid w:val="00603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86FD75681994F2DA30A93541F4A1684">
    <w:name w:val="E86FD75681994F2DA30A93541F4A1684"/>
    <w:rsid w:val="003C0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FCDD-E3A3-429B-A5BC-ACF1D4F0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55</TotalTime>
  <Pages>15</Pages>
  <Words>7637</Words>
  <Characters>42006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Usuario</cp:lastModifiedBy>
  <cp:revision>3</cp:revision>
  <cp:lastPrinted>2014-12-27T19:37:00Z</cp:lastPrinted>
  <dcterms:created xsi:type="dcterms:W3CDTF">2018-06-27T07:31:00Z</dcterms:created>
  <dcterms:modified xsi:type="dcterms:W3CDTF">2018-06-27T08:42:00Z</dcterms:modified>
</cp:coreProperties>
</file>